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492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1. El día 9 de julio de 1984 tuvo entrada en este Tribunal Constitucional escrito de don Julio Peñas Vázquez en el que se decía que se interponía recurso de amparo contra la Ley 20/1984 de 15 de junio sobre situaciones del personal de las Fuerzas Armadas, y en particular contra sus Disposiciones Adicionales Primera, número dos y Tercera, que excluían a los miembros del Benemérito Cuerpo de Mutilados por la Patria, entre los que se encuentra el recurrente, de la aplicación de sus disposiciones. El recurrente considera infringidos los arts. 14 y 139 de la Constitución y solicita que se declare la inconstitucionalidad de aquellas disposiciones adicionales y se declare el derecho que le asiste a percibir todas las remuneraciones a que hace mención la referida Ley 20/1984 de 15 de junio.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4.2 de la L.0.T.C. dice que el Tribunal Constitucional apreciará, de oficio o a instancia de parte, su falta de jurisdicción o de competencia. En el presente caso el recurrente presenta bajo el nombre de recurso de amparo lo que es en</w:t>
      </w:r>
    </w:p>
    <w:p w:rsidRPr="00C21FFE" w:rsidR="00AD51A7" w:rsidRDefault="008777C4">
      <w:pPr>
        <w:rPr/>
      </w:pPr>
      <w:r w:rsidRPr="&lt;w:rPr xmlns:w=&quot;http://schemas.openxmlformats.org/wordprocessingml/2006/main&quot;&gt;&lt;w:lang w:val=&quot;es-ES_tradnl&quot; /&gt;&lt;/w:rPr&gt;">
        <w:rPr/>
        <w:t xml:space="preserve">realidad un recurso de inconstitucionalidad contra determinadas disposiciones de una Ley y pide que se enjuicie la conformidad o disconformidad con la Constitución de aquellas disposiciones. Para que este Tribunal Constitucional pueda ejercer su</w:t>
      </w:r>
    </w:p>
    <w:p w:rsidRPr="00C21FFE" w:rsidR="00AD51A7" w:rsidRDefault="008777C4">
      <w:pPr>
        <w:rPr/>
      </w:pPr>
      <w:r w:rsidRPr="&lt;w:rPr xmlns:w=&quot;http://schemas.openxmlformats.org/wordprocessingml/2006/main&quot;&gt;&lt;w:lang w:val=&quot;es-ES_tradnl&quot; /&gt;&lt;/w:rPr&gt;">
        <w:rPr/>
        <w:t xml:space="preserve">competencia sobre este tipo de recurso es preciso que estos se planteen por los órganos o partes de órganos citados en los artículos 164.1.a de la Constitución y 32 de la L.O.T.C sin que los, particulares estén en ningún caso habilitados para</w:t>
      </w:r>
    </w:p>
    <w:p w:rsidRPr="00C21FFE" w:rsidR="00AD51A7" w:rsidRDefault="008777C4">
      <w:pPr>
        <w:rPr/>
      </w:pPr>
      <w:r w:rsidRPr="&lt;w:rPr xmlns:w=&quot;http://schemas.openxmlformats.org/wordprocessingml/2006/main&quot;&gt;&lt;w:lang w:val=&quot;es-ES_tradnl&quot; /&gt;&lt;/w:rPr&gt;">
        <w:rPr/>
        <w:t xml:space="preserve">interponerlos. Un recurso de inconstitucional presentado bajo la apariencia de un recurso de amparo de un particular no es en realidad ni un recurso de inconstitucionalidad porque no lo han interpuesto quienes podían hacerlo ni un recurso de amparo</w:t>
      </w:r>
    </w:p>
    <w:p w:rsidRPr="00C21FFE" w:rsidR="00AD51A7" w:rsidRDefault="008777C4">
      <w:pPr>
        <w:rPr/>
      </w:pPr>
      <w:r w:rsidRPr="&lt;w:rPr xmlns:w=&quot;http://schemas.openxmlformats.org/wordprocessingml/2006/main&quot;&gt;&lt;w:lang w:val=&quot;es-ES_tradnl&quot; /&gt;&lt;/w:rPr&gt;">
        <w:rPr/>
        <w:t xml:space="preserve">porque su objeto no es el propio de este tipo de recursos. Por ello este Tribunal con arreglo al citado art. 4 de su Ley Orgánica puede apreciar y aprecia de oficio su incompetencia para conocer de la causa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declararse de oficio incompetente para conocer de la cuestión planteada.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