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0. El día 11 de julio de 1984 tuvo entrada en este Tribunal Constitucional escrito de don Celestino Villa Echevarría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L.O.T.C. dice que el Tribunal Constitucional apreciará, de oficio o a instancia de parte, su falta de jurisdicción o de competencia. En el presente caso el recurrente presenta bajo el nombre de recurso de amparo lo que es en realidad un recurso de inconstitucionalidad contra determinadas disposiciones de una Ley y pide que se enjuicie la conformidad o disconformidad con la Constitución de aquellas disposiciones. Para que este Tribunal Constitucional pueda ejercer su competencia sobre este tipo de recurso es preci so que estos se planteen por los órganos o partes de órganos citados en los artículos 164.1.a de la Constitución y 32 de la L.O.T.C. sin que los particulares estén en ningún caso habilitados para inerponerlos.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