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0. El día 11 de julio de 1984 tuvo entrada en este Tribunal Constitucional escrito de don Manuel Martín Guerra en el que se decía que se interponía recurso de amparo contra la Ley 20/1984 de 15 de junio sobre situaciones del personal de las Fuerzas Armadas, y en particular contra sus Disposiciones Adicionales Primera, número dos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aquellas disposiciones. Para que este Tribunal Constitucional pueda ejercer su competencia sobre este tipo de recurso es preciso que estos se planteen por los órganos o partes de órganos citados en los artículos 164.1.a de la Constitución y 32 de la L.O.T.C. sin que los particulares estén en ningún caso habilitados para interponerlos.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