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0. El día 12 de julio de 1984 tuvo entrada en este Tribunal Constitucional escrito de don Francisco Vallejo Pérez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L.O.T.C. dice que el Tribunal Constitucional apreciará, de oficio o a instancia de parte, su falta de jurisdicción o de competencia. En el presente caso el recurrente presenta bajo el nombre de recurso de amparo lo que es en realidad un recurso de inconstitucionalidad contra determinadas disposiciones de una Ley y pide que se enjuicie la conformidad o disconformidad con la Constitución de aquellas disposiciones. Para que este Tribunal Constitucional pueda ejercer su competencia sobre este tipo de recurso es preciso que estos se planteen por los órganos o partes de órganos citados en los artículos 164.1.a de la Constitución y 32 de la L.O.T.C. sin que los particulares estén en ningún caso habilitados para interponerlos.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