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12 de julio de 1984 tuvo entrada en este Tribunal Constitucional escrito de don Manuel Molina Pineda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 Para que este Tribunal Constitucional pueda ejercer su competencia sobre este tipo de recurso es preciso que estos se planteen por los órganos o partes do órganos citados en los artículos 164.1.a de la Constitución, y 32 de la L.O.T.C. sin que los particulares estén en ningún caso habilitados para inerponerlos.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