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12 de julio de 1984 tuvo entrada en este Tribunal Constitucional escrito de don Ismael González Blas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 aquellas disposiciones. Para que este Tribunal Constitucional pueda ejercer su competencia sobre ente tipo de recurso es preciso que estos se planteen por los órganos o partes de órganos citados en los artículos 164.1.a de la Constitución y 32 de la L.O.T.C. sin que los particulares estén en ningún caso habilitados para interponerlos.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