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incidental de justicia gratuita del recurso de amparo promovido por don Roberto Goyanes Fernández.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28 de enero pasado, don Roberto Goyanes Fernández solicitó de este Tribunal que se le nombrase Abogado y Procurador de oficio para formalizar un recurso de amparo, acordándose por providencia de 27 de febrero el nombramiento solicitado; efectuado el cual, por otra providencia de 10 de abril se dispuso que los colegiados designados formalizasen las demandas de amparo y gratuidad, lo que efectivamente realizaron.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Formada pieza separada para sustanciar la pretensión incidental de gratuidad se acordó oír al Ministerio Fiscal y al Abogado del Estado quienes nada han opuesto a la concesión del beneficio solicitado.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 la demanda incidental de justicia gratuita y de los documentos acompañados a la solicitud de amparo aparece que el solicitante fue declarado insolvente en el previo proceso judicial, hallándose en prisión y careciendo de bienes y de ingresos; se halla, por tanto, ostensiblemente incluido en el supuesto previsto en el art. 14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otorgar a don Roberto Goyanes Fernández el beneficio de gratuidad para litigar en este proceso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julio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