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438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julio de 1985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>La Sección ha examinado la pieza incidental de justicia gratuita del recurso de amparo promovido por don José Manuel Collantes San Miguel.</w:t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Don José Manuel Collantes San Miguel formuló solicitud de amparo contra Sentencia del Juzgado de Instrucción núm. 4 de Santander de fecha 13 de septiembre de 1984 que le condenó como autor de un delito de robo, a la pena de cinco meses de arresto mayor, accesorias, así como a indemnizar a los perjudicados. 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En la solicitud de amparo designaba Abogado y pedía el nombramiento de Procurador de turno de oficio, que le fue efectivamente nombrado; acordándose por providencia de 10 de abril pasado la formalización de las demandas de amparo y gratuidad. Formalizada esta última, por providencia de 22 de mayo se acordó formar la correspondiente pieza separada y oír al Abogado del Estado y al Ministerio Fiscal, quienes mostraron su conformidad a la concesión del beneficio solicitado.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Unico.  De las actuaciones aparece que el demandante de amparo, sin profesión, se halla en prisión en el Centro de Cumplimiento para Jóvenes de Teruel y carece de bienes y de ingresos, estando comprendido en el supuesto que regula el art.  14 de la Ley de Enjuiciamiento Civil.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Por lo expuesto, la Sección acuerda otorgar a don José Manuel Collantes San Miguel el beneficio de gratuidad para litigar en el presente recurso de amparo.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tres de julio de mil novecientos ochenta y cinco.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