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estudiado la pieza de suspensión dimanante del recurso de amparo núm. 340/1985, interpuesto por don Luis Manuel Bautista Tanco.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abril, el indicado Luis Manuel Bautista Tanco interpuso recurso de amparo contra la Sentencia de la Audiencia Provincial de Barcelona de fecha 10 de abril de 1984, recaída en la causa por delito de robo con homicidio, que le condenó a la pena de veinticuatro años de reclusión. Por otrosí solicita la suspensión de los efectos condenatorios de la Sentencia recurrida y concesión 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se dispuso la formación de pieza separada para tramitar el incidente de suspensión y oír al Ministerio Fiscal y al solicitante de amparo. El Ministerio Fiscal se opuso a la suspensión y el solicitante insistió en su petición respecto a la suspensión de la Sentencia y concesión de libertad provisional en tanto se resuelve este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solicitante, privado de libertad por razón de la causa seguida contra él por el delito de robo con homicidio, y pendiente de la ejecutoria, interesa de este Tribunal la libertad provisional.  No es a este Tribunal al que corresponde proveer sobre la situación de los sometidos a una causa penal, y, por otra parte, si lo que se insta es la suspensión de la ejecución de la Sentencia, no comportaría otra consecuencia que la de permanecer en situación de prisión provisional y no pasar a la de condenado, pero no la obtención de la libertad.  Con esto la petición de libertad que el recurrente postula es improcedente.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Vacaciones ha acordado denegar la petición de suspensión hecha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