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inconstitucicnalidad, admitida a trámite, en relación con la Ley 5/1983, de 29 de junio, de Medidas Urgentes en Materia Presupuestaria, Financiera y Tributaria, en su disposición adicional 6º, n°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corriente,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artículo 83 de la LOTC, a las señaladas en el Antecedente número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artículo 38 de la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580/85,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