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Dolores Parés Redondo.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Dolores Parés Redondo, asistida del Letrado del Luis María Parés Redondo, presentó el 11 de junio de 1985 un escrito solicitando el nombramiento de Procurador del turno de oficio a fin de interponer recurso de amparo frente a Sentencia de la Magistratura de Trabajo núm. 3 de Barcelona, recaída en autos 249/1984 sobre reclamación de prestaciones por desempleo, y frente al Auto de 27 de abril de 1985 del Tribunal Central de Trabajo que declaró improcedente el recurso de suplicación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septiembre se acordó otorgar a la solicitante de amparo un plazo de diez días para que acreditase haber gozado del beneficio de justicia gratuita en la vía judicial o que ha venido a peor fortuna.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16 de octubre en curso ha tenido entrada en este Tribunal escrito de la solicitante de amparo desistiendo del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No estando admitido el recurso de amparo promovido y, hallándose sin integrar la postulación de la recurrente, ésta dirige a este Tribunal un escrito desistiendo del recurso. En las actuaciones no aparece la existencia de intereses concurrentes a que el desistimiento pudiera afectar y tampoco aparece afectado el interés público en la prosecución o conclusión del proceso, que sólo podría repercutir en el patrimonio personal de la solicitante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tener a doña María Dolores Parés Redondo por apartada y desistida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