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872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por providencia de la Sección Primera de 25 de septiembre último,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 señalada en el antecedente anterior, encontrándose todas ellas admitidas a trámite. </w:t>
      </w:r>
    </w:p>
    <w:p w:rsidRPr="00C21FFE" w:rsidR="00AD51A7" w:rsidRDefault="008777C4">
      <w:pPr>
        <w:rPr/>
      </w:pPr>
      <w:r w:rsidRPr="&lt;w:rPr xmlns:w=&quot;http://schemas.openxmlformats.org/wordprocessingml/2006/main&quot;&gt;&lt;w:lang w:val=&quot;es-ES_tradnl&quot; /&gt;&lt;/w:rPr&gt;">
        <w:rPr/>
        <w:t xml:space="preserve">Las registradas con los núms. 377, 378, 379, 380, 381, 389, 390, 395, 396, 397, 398, 399, 400, 430, 431, 444, 445, 446 y 447, todas ellas de 1985, fueron acumuladas por Auto del Pleno de 16 de julio del corriente, por darse los presupuestos previstos en el art.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núms. 578, 579, 580, 581, 642, 643, 644, 645, 646 y 685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se han personado el Fiscal General del Estado, mediante escrito recibido el 24 de octubre último, y el Letrado del Estado, con escrito recibido el 25 de octubre, solicitando la acumulación de este proceso a los señalados en el antecedente anterior y que fueron acumulados por Auto de 16 de julio, al darse las condiciones de conexión objetiva que determina el art. 83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cuestión y las enumeradas en el antecedente segundo aparecen promovidas en relación con el mismo precepto de la Ley 5/1983, de 29 de junio, dándose por lo tanto los presupuestos de conexión objetiva que permiten, de acuerdo con el art.  83 LOTC, su acumulación.</w:t>
      </w:r>
    </w:p>
    <w:p w:rsidRPr="00C21FFE" w:rsidR="00AD51A7" w:rsidRDefault="008777C4">
      <w:pPr>
        <w:rPr/>
      </w:pPr>
      <w:r w:rsidRPr="&lt;w:rPr xmlns:w=&quot;http://schemas.openxmlformats.org/wordprocessingml/2006/main&quot;&gt;&lt;w:lang w:val=&quot;es-ES_tradnl&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aquél, y a que la Sentencia que recaiga surtirá efectos en las demás cuestiones obliga en el presente caso a mantener el mismo criterio.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704/1985 a las ya acumuladas señaladas en el antecedente segundo.</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