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915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justicia gratuita del recurso de amparo promovido por don Juan Vicente Gómez Pascual.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abril pasado tuvo entrada en este Tribunal un escrito en el que don Juan Vicente Gómez Pascual solicitaba la designación de Abogado y Procurador a fin de interponer recurso de amparo contra Sentencia dictada en juicio de faltas por el Juzgado de Distrito núm. 1 de Almería con fecha 25 de marzo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junio se recabó el nombramiento de Abogado y Procurador de oficio y por otra de 10 de julio se requirió a los ya designados para que formalizasen las demandas de amparo y justicia gratuita, lo que realizaron, formándose pieza separada para sustanciar la segunda y en la que, por providencia de 13 de noviembre se acordó oir al Letrado del Estado y al Ministerio Fiscal acerca de la concesión del beneficio solicitado, habiendo mostrado ambos su conformidad a tal concesión.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la reducida fundamentación de la demanda de justicia gratuita y justificación ofrecida aparece que el demandante percibe los ingresos propios de su profesión de Cabo de la Armada Española sin que conste que tenga otros, por lo que se halla comprendido en el supuesto previsto en el art.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don Juan Vicente Gómez Pascual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