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810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Jurisdicción del Tribunal Constitucional: inexistencia.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Mercedes Blanco Colina, compareciendo por sí, con la asistencia de Letrado, presenta el 7 de agosto de 1986 en el Registro General de este Tribunal escrito por el que interpone recurso de amparo contra la resolución de 30 de junio de 1986 de la Dirección Provincial del Instituto Nacional de Empleo de Madrid, denegatoria de prestaciones por desempleo, así como contra las Sentencias de la Magistratura de Trabajo núm. 14 de Madrid de 7 de noviembre de 1984, que declaró la caducidad de su pretensión de readmisión en su puesto de trabajo, y la de la Sala Sexta del Tribunal Supremo de 5 de marzo de 1986, desestimatoria del recurso de casación interpuesto por ella contra la anterior Sentencia. Alega vulneración de los arts. 14, 24.1 y 25.1 de la Constitución. Acompaña a la demanda fotocopia de las resoluciones indicadas y dos copias de tal demanda y documental acompañada.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sustenta su demanda en los siguientes hechos y fundamentos de Derecho, cuyo relato se completa, en algunos extremos, con lo que resulta de la documental acompañada: a) La recurrente prestaba servicios para la empresa «Compañia Europea para Agrupamiento Doméstico, S. A.» (CEDOSA), desde 26 de noviembre de 1961 como taquimecanógrafa y solicitó y obtuvo excedencia por crianza de un hijo por plazo que finalizó el 16 de febrero de 1981. El 26 de diciembre de 1984 se puso en contacto con la empresa, indicándole un directivo de ésta que no era posible su reincorporación, por lo que, tras presentar papeleta de conciliación ante el IMAC el 10 de mayo de 1984, celebrándose el acto de conciliación sin avenencia el 28 de mayo de 1984, formuló el 5 de junio de 1984 demanda, que correspondió a la Magistratura núm. 14 de Madrid, solicitando que se reconociera su derecho a la ocupación efectiva del puesto de trabajo dejado por excedencia y se condene a los demandados a su readmisión o al pago de la indemnización. La actora formuló su demanda contra la empresa CEDOSA y contra doña Pilar Torre Iñigo, doña Rafaela Fernández Pérez, doña Araceli Rodríguez Peces y doña Dolores Mela Sáez, empleadas todas de aquella empresa. b) La Magistratura de Trabajo núm. 14 de Madrid dictó Sentencia el 7 de noviembre de 1984 en que, razonando sobre la excepción de caducidad opuesta por los demandados, indicaba que tal como se plantea la demanda, la petición en ella contenida es la de una acción de despido cuya fecha de efectos sería la de 26 de febrero de 1984 y, dadas las fechas de presentación de papeleta, celebración de conciliación y presentación de demanda, ésta se presentó fuera del plazo previsto por el art. 59 del Estatuto de los Trabajadores como de caducidad, por lo que el fallo disponía que «Debo absolver y absuelvo la instancia sin entrar en el fondo del asunto por concurrir la excepción de caducidad». Recurrida en casación la Sentencia por la demandante de amparo, interviniendo como recurridos todos los demandados, tal recurso fue desestimado por Sentencia de la Sala Sexta del Tribunal Supremo de 5 de marzo de 1986, que la actora dice notificada el 23 de abril de 1986, y en la que dicho Tribunal exponía que la recurrente no cuestionaba en modo alguno que a la acción ejercitada en el proceso le es de aplicación el instituto jurídico de la caducidad; «antes bien lo admite explícitamente» ya que los tres motivos formalizados parten de tal admisión, al intentar los dos primeros sendas modificaciones de la declaración de hechos probados, que no estima procedentes, y al alegar el tercero interpretación errónea de la doctrina legal sobre la caducidad, sin citar ni una sola Sentencia de la que resulte tal doctrina ni el sentido de su equivocada interpretación; en todo caso, señalaba el Tribunal Supremo, existe una decisiva razón para desestimar el recurso y es que, aun partiendo de los fundamentos que en el mismo se propugnan, la caducidad de la acción se había producido por aplicación del art. 52 de la LPL, al deber computarse no sólo los días entre el despido y la presentación de papeleta de conciliación ante el IMAC, sino también los transcurridos ante el intento de conciliación y la presentación de la demanda, cuya suma total excede del plazo previsto por el art. 59.3 del ET. c) Después de lo anterior, la actora formuló solicitud de prestaciones por desempleo ante la Dirección Provincial del INEM de Madrid, que en resolución de 30 de junio de 1986 ha denegado tales prestaciones a la actora. Dicha resolución expone, brevísimamente, que la actora no acredita situación legal de desempleo y en atención a lo dispuesto en el art. 1 del Real Decreto 625/1985, de 2 de abril, acuerda denegar la prestación solicitada. La resolución tiene fecha de salida del registro del Organismo de 7 de julio de 1986, no constando la fecha de su notificación, respecto de lo que nada alega la actora, quien tampoco alega ni acredita haber interpuesto ante el Organismo reclamación previa, que la misma resolución le indicaba como recurso a formular contra ella y que los arts. 58 y 63 de LPL establecen, ni otro recurso ni demanda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la recurrente en amparo formula en el suplico la petición de que este Tribunal dicte Sentencia por la que se ampare «mi derecho constitucional a ocupar un puesto de trabajo, subsidiariamente a que se conceda la prestación del desempleo por empleo efectivo». Previamente la actora viene a exponer que las resoluciones impugnadas violan el art. 14 C.E. por una interpretación desigual de la Ley, el art. 24.1 C.E. al no otorgarse tutela efectiva o protección a su caso, el art. 24.1 de la C.E. al existir indefensión producida en cada instancia en que ha reclamado y el art. 25.1 C.E. al sancionársele por un despido que no se ha producido, ni ha realizado acto alguno tendente al mismo, ni ha reclamado por despido.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Si bien la recurrente invoca los arts.  14, 24.1 y 25 de la Constitución, no expone en forma alguna en qué se relaciona lo mandado en estos artículos con su pretensión, ni indica cómo han podido vulnerar los poderes públicos los derechos en ellos garantizados. Al no solicitarse, pues, la reparación de vulneraciones por los poderes públicos de derechos susceptibles de amparo, no cabe que este Tribunal se pronuncie sobre la pretensión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