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abril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Con fecha 8 de marzo de 1986 quedó registrado en este Tribunal un escrito mediante el cual don Mustafá Ali Khalil, carente de la representación y defensa, afirmaba su voluntad de interponer recurso de amparo constitucional contra las Sentencias de 25 de febrero de 1986 y de 22 de junio de 1985 dictadas, respectivamente, por la Sala Segunda del Tribunal Supremo y por la Sala de lo Penal de la Audiencia Nacional, formulando la petición de que se le designase Procurador y Letrado del turno de oficio a los efectos de interponer la demanda.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Tras nombrársele Procurador y Abogado del referido turno de oficio, los designados formalizaron las demandas de amparo y de justicia gratuita, formándose la correspondiente pieza separada para sustanciar la segunda. En ella se afirmaba la carencia de bienes y de arraigo en España, del demandante, y la declaración de insolvencia parcial del mismo declarada en la vía judicial.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De la demanda incidental se dio traslado al Letrado del Estado, que nada opuso a su estimación, y al Ministerio Fiscal quien interesó una información complementaria que se recabó del Juzgado Central de Instrucción número 1, tras de lo cual mostró dicho Ministerio su conformidad a la estimación de la demanda incidental.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Unico.- De las actuaciones aparece que el demandante carece de bienes e ingresos y que la cantidad por la que aparece solvente parcial está depositada y afecta a posibles responsabilidades civiles; hallándose, en consecuencia, en el supuesto previsto por el artículo 14 de la Ley de Enjuiciamiento Civil.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 la Sección ha acordado otorgar al demandante el beneficio de gratuidad para litigar en este proceso de amparo.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uno de abril de mil novecientos ochenta y siete.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