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7 de octubre de 1987, el Procurador don Tomás Cuevas Villamañán, en nombre de don Juan A. Vergara López, don José Giraldo Losa, don Antonio Gómez Alexandre, don José y don Benigno Barbero Sánchez, don Ramón O. González Navarro, don José Agar Malpica, don Darío y don Alfredo Martínez López y «Martínez-Gómez, Sociedad Anónima», interpuso recurso de amparo contra Sentencia de la Sala Quinta del Tribunal Supremo de 14 de mayo de 1987, dictada en el recurso 65/1987.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y fundamentos de Derecho: Los recurrentes se dedicaban a la fabricación de navajas automáticas. El 25 de septiembre de 1981 se publicó el vigente Reglamento de Armas, que prohibió la fabricación de tales navajas, procediéndose por la Guardia Civil a la aprehensión de las navajas de este tipo existente en los talleres de aquéllos. Los actores solicitaron una indemnización a la Administración por este hecho y, disconformes con la cuantía de la misma fijada en la vía administrativa interpusieron recurso contencioso-administrativo. En su opinión, la Sentencia de la Sala Quinta del Tribunal Supremo, que resuelve este recurso y ahora se impugna, infringe el derecho que les reconoce el art. 24.1 de la Constitución, ya que en ella se afirma que «no han aportado prueba alguna enderezada a demostrar la insuficiencia de la cuantificación efectuada en la vía administrativa». Pero lo cierto es que se aportaron a los autos unos informes realizados al respecto por la Dirección Provincial del Ministerio de Industria y Energía en Albacete. La Administración reconoció la cantidad correspondiente al valor de las navajas aprehendidas, pero no el del material no reconvertible y el daño emergente y lucro cesante causado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suplico de la demada se solicita el amparo para que se reconozca a los demandantes el derecho a una indemnización cuya cuantía ha sido acreditada en autos.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(LOTC) dispone que este Tribunal apreciará, de oficio o a instancia de parte, su falta de jurisdicción. En el presente caso procede llevar a cabo esta apreciación, ya que resulta evidente, de los mismos términos de la demanda, y a la vista de lo que en ella se pide, que versa sobre materia ajena a la jurisdicción constitucional, que en la vía de amparo se extiende, como precisa el art. 41.1 de la LOTC, a los derechos y libertades reconocidos en los artículos 14 a 29 de la Constitución, así como a la objeción de conciencia reconocida en el articulo 30 de la Ley Fundamental; sin que, como señala el apartado 3 del artículo citado, puedan hacerse valer, en el amparo constitucional, otras pretensiones que las dirigidas a restablecer o preservar los derechos o libertades por razón de los cuales se formuló el recurso. Pues bien, los recurrentes, lo que solicitan es la nulidad de la Sentencia dictada por la Sala Quinta del Tribunal Supremo, en el recurso contencioso-administrativo 65/1987 y, que se reconozca el derecho de los solicitantes de amparo a la indemnización solicitada en el recurso citado. Al no interesarse, pues, la reparación de vulneraciones de derechos susceptibles de amparo no cabe que este Tribunal se pronuncie sobre la pretensión deducida, que queda claramente fuera del ámbito del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