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enero de 2006, al que se acompaña el correspondiente Auto de 16 de noviembre de 2005, el Juzgado de lo Contencioso- 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administrativo (tramitado con el núm. 3-2001) interpuesto por la mercantil Espada López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25 de octubre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31de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766-2006,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