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promovido por don Juan José Legorburu Guederiagha representado por la Procuradora de los Tribunales, doña Ana María Aparicio Carol, y asistido por el Letrado don Alfonso Zenon Castro, contra el Auto de 18 de marzo de 2010 de la Sala Segunda del Tribunal Supremo que desestima el recurso de casación planteado contra el Auto de 30 de marzo de 2009 de la Sección Segunda de la Sala de lo Penal de la Audiencia Nacional (ejecutoria 28-2004, sumario 2-2001) por el que se acordaba no haber lugar al licenciamiento definitivo para el día 2 de abril de 2009, ordenando que se practique una nueva liquidación de condena según la doctrina establecida en la Sentencia del Tribunal Supremo 197/2006, de 28 de febrero.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junio de 2010 el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fue condenado a varias penas en diversos procedimientos cuya suma superaba los treinta años de condena. Conforme al art. 70.2 del Código penal (CP) de 1973 se impuso el límite de 30 años de cumplimiento; es decir, 10.950 días mediante Autos de 29 de noviembre de 2001 y 10 de mayo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 en las actuaciones las siguientes Sentencias, todas ellas dictadas por la Sala de lo Penal de la Audiencia Nacional, por las que se condena al recurrente a las penas que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16 de febrero de 1987 (sumario 13-1986), por un delito de asesinato en grado de frustración a la pena de veinte años y un día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13 de marzo de 1987 (sumario 50-1986) por un delito de estragos a dos años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21 de mayo de 1987 (sumario 64-1986) por un delito de estragos a tres años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7 de julio de 1987 (sumario 68-1985) por un delito de atentado a agente de la autoridad con resultado de lesiones graves a la pena de veintinueve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22 de septiembre de 1987 (sumario 94-1979), por un delito de asesinato a veintisiete años, ocho meses y un día de reclusión mayor y a cuatro años, dos meses y un día de prisión menor por un delito de utilización ilegítima de motor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5 de octubre de 1987 (sumario 23-1985) por un delito de atentado con resultado de muerte a la pena de treinta años de reclusión mayor; por un delito de asesinato a la pena de treinta años de reclusión mayor; por tres delitos de asesinato en grado de frustración a la pena de veinticinco años de reclusión mayor por cada uno de ellos; por un delito de lesiones menos graves a la pena de seis meses de arresto mayor, y por un delito de estragos a la pena de ocho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11 de marzo de 1988 (sumario 70-1981) por un delito de asesinato en grado de consumación a la pena de veintiséis años de reclusión mayor; por un delito de asesinado en grado de frustración a la pena de doce años y un día de reclusión menor; por dos delitos de detención ilegal a las penas de dos años de prisión menor; por dos delitos de utilización ilegitima de vehículos de motor a dos penas de cuatro años, dos meses y un día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6 de mayo de 1988 (sumario 87-1985) por un delito de atentado con resultado de lesiones a una pena de veinticuatro años de reclusión mayor; por seis delitos de asesinato frustrado a una pena, por cada uno de ellos, de veintiún años de reclusión mayor; por un delito de estragos a la pena de siete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17 de mayo de 1988 (sumario 82-1985) por un delito de atentado a treinta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27 de junio de 1988 (sumario 71-1984) por un delito de asesinato a veintinueve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5 de octubre de 1988 (sumario 83-1985) por un delito de asesinato frustrado a diecinueve años de reclusión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Sentencia de 30 de junio de 2004 (sumario 2-2001) por un delito de atentado con resultado de muerte a una pena de treinta años de reclusión mayor; por ocho delitos de asesinato frustrado a ocho penas de veintitrés años de reclusión mayor por cada uno de ellos; por un delito de depósito de armas de guerra a una pena de diez años de prisión mayor; por un delito de robo de vehículo con toma de rehenes a una pena de ocho años de prisión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30 de marzo de 2009 la Sección Segunda de la Sala de lo Penal de la Audiencia Nacional dicta Auto en el que se acordaba no haber lugar al licenciamiento definitivo para el día 2 de abril de 2009 que proponía el centro penitenciario, ordenando se practique una nueva liquidación de condena según la denominada “doctrina Parot”, expresada en la STS 197/2006 de 28 de febrero. Interpuesto recurso de casación contra dicha resolución, interesando que se revocara la misma y solicitando la aprobación del licenciamiento del señor Legorburu para el 2 de abril de 2009, tal y como proponía el centro penitenciario, el Tribunal Supremo resuelve mediante Auto de 18 de marzo de 2010, inadmitiendo el recurso de casación y manteniendo la resolución de 30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Autos señalan en sus fundamentos jurídicos que la aprobación de la fecha de licenciamiento es el resultado de la aplicación de la STS 197/2006, en la que se establece que, en lo referente a los supuestos de acumulación de condenas, la redención no puede aplicarse sobre el límite de treinta años de las condenas acumuladas, sino sobre todas y cada una de las condenas impuestas, empezando por la más grave, lo que hace que el licenciamiento se calcule teniendo en cuenta estas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aduce la vulneración del principio de legalidad (art. 25 CE, en relación con el art. 9.1 CE), por la interpretación realizada por la Audiencia Nacional de los arts. 70.2 y 100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con la interpretación mantenida por el Tribunal Supremo hasta la STS 197/2006, de 28 de febrero, había acumulado redenciones ordinarias y extraordinarias, que junto con los días de cumplimiento efectivo hubieran tenido que suponer en fecha de 11 de abril de 2008 su licenciamiento definitivo por cumplimiento de condena. El trabajo y los estudios en la prisión se realizaron en la confianza de que las redenciones así obtenidas implicarían un acortamiento del tiempo de permanencia en prisión, como en el caso de la STC 76/2004, de 26 de abril, habiéndose generado una expectativa de dicho acortamiento sobre la base de la actuación de los órganos judiciales hasta el momento. Citando la STC 174/1989, de 30 de octubre,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alega la vulneración del derecho a la intangibilidad de las resoluciones judiciales firmes, art. 24 CE, en relación con los principios de legalidad y seguridad jurídica. En el procedimiento referido al señor Legorburu se acordó acumular las condenas impuestas al penado fijándose en una duración de treinta años de privación de libertad el tiempo total de cumplimiento de la condena. Consecuencia de dicho Auto se dictó resolución por la que aprobó la liquidación de condena correspondiente a mi representado considerando la existencia de una sola condena de treinta años de privación de libertad susceptible además de reducción por medio del beneficio de la redención de pena por el trabajo, ya que dicha condena se ajusta a las reglas del derogado Código penal, texto refundido de 1973, que, como es bien sabido, contemplaba dicho beneficio, como modo de reducción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dictó Auto por el que se acordaba no haber lugar a la revisión de la condena impuesta a mi representado toda vez que, según se pone de manifiesto en el propio Auto la pena impuesta con arreglo al Código penal de 1973 es más beneficiosa que la prevista por el texto legal de 1995, lo que ha de deberse al cómputo de las redenciones de pena por trabajo previstas por el artículo 100 de aquel texto refundido de 1973, ya que en ambos casos estaríamos ante una condena refundida en treinta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esta situación, en los diversos centros penitenciarios en los que ha estado ingresado el demandante se han ido realizando y notificando al penado distintas hojas de cálculo en las que la fecha de liquidación de condena se calculaba siempre aplicando las redenciones obtenidas por el señor Legorburu de la pena única y total de treinta años a la que habían sido refundidas o acumuladas todas las inicialmente impuestas. Así las cosas, no sólo nos encontramos con una expectativa de reducción de la condena y consecuentemente de libertad creada en el recurrente, por la aplicación de las redenciones de pena por el trabajo a una única pena de treinta años de prisión que materialmente se ha venido produciendo durante años, sino que nos encontramos con una resolución firme, nunca cuestionada y nunca modificada, por la que se acumulan todas las condenas impuestas al solicitante de amparo en una única, de donde se deriva la correspondiente liquidación de condena y cuya consecuencia es la aplicación a la misma de tal institución de la redención de penas por el trabajo. Las resoluciones judiciales ahora impugnadas atrasan gravemente la fecha de licenciamiento definitivo del demandante y modifican los criterios fijados en los Autos de acumulación de condena y de fijación del Código penal más favorable, que fijaban los criterios para la ejecución de la condena, considerada una determinada interpretación de la normativa en juego como consecuencia de la concurrencia de la nueva y posterior interpretación sobre refundición de penas efectuada por la STS 197/2006 de 28 de febrero, de donde resulta una vulneración del derecho a la intangibilidad de las resoluciones judiciales firmes, incardinado en el derecho fundamental a la tutela judicial efectiva y que resulta también de los principios de legalidad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Convenio europeo para la protección de los derechos humanos y de las libertades fundamentales (CEDH) y el art. 15 Pacto internacional de derechos civiles y políticos (PIDCP),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Con cita de la STC 144/1988, de 12 de julio,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de relieve que, conforme a la jurisprudencia de este Tribunal, la redención de penas por el trabajo afecta al derecho a la libertad (SSTC 31/1999, de 8 de marzo, y 76/2004, de 26 de abril),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Las resoluciones recurridas retrasan la puesta en libertad del recurrente hasta el cumplimiento de los treinta años íntegros y, por tanto, violan el art. 17 CE y los arts. 5 y 15.1 CEDH,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3 de marzo de 2011 la admisión a trámite del recurso de amparo y, de conformidad con el art. 51 de la Ley Orgánica del Tribunal Constitucional (LOTC), requerir atentamente a la Sala de lo Penal del Tribunal Supremo para que remitiera testimonio del recurso de casación núm. 10978-2009; igualmente se requirió a la Sección Segunda de la Sala de lo Penal de la Audiencia Nacional, para que en el plazo de diez días remitieran testimonio de las actuaciones correspondientes a la ejecutoria 28-2004, interesándose al propio tiempo el emplazamiento de quienes fueron parte en el procedimiento, con excepción del recurrente en amparo, que aparece ya personado, para que en el plazo de diez días pudieran comparecer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6 de junio de 2011 se denegó la suspensión solicitada por el recurrente; por providencia de 11 de enero de 2012, previa reiteración de la parte de la solicitud de suspensión, se acordó rechazar nuevamente la medida cautelar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alegaciones mediante escrito que tuvo entrada en este Tribunal el 30 de junio de 2011, reiterando los argumentos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en escrito de 1 de julio de 2011. Estima que por razones sistemáticas deben ser abordados los motivos de amparo propuestos por otro orden distinto del que es propuesto en la demanda; comienza por el análisis de la eventual vulneración del principio de legalidad penal recogido en el art. 25.2 CE y, más concretamente, en el enunciado en el séptimo motivo de amparo del mismo que alude al carácter rehabilitador y de reinserción social que deben de tener las penas señaladas a los diferentes delitos previstos en el Código penal. Considera que el motivo debe ser rechazado a limine porque, como reiteradamente ha destacado la doctrina de ese Alto Tribunal el art. 25.2 CE no contiene un derecho fundamental del ciudadano susceptible de ser invocado en amparo, sino más bien un mandato dirigido al legislador para orientar la política penitenciaria con objeto de que configure las sanciones penales para que cumplan estos fines de reinserción y rehabilitación establecidos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tenga suficiente fundamento el cuarto de los motivos de amparo de la demanda, centrado en la eventual vulneración del principio de legalidad penal conectado al de irretroactividad de las normas penales y restrictivas de derechos, puesto que, como ha señalado también de modo reiterado la doctrina del Tribunal (STC 237/1993, de 12 de julio, por todas) no es invocable en amparo, a no ser que a través del mismo haya sido vulnerado alguno de los derechos fundamentales susceptibles de amparo. La afirmación del recurrente acerca de que el Tribunal Supremo haya realizado una interpretación del art. 70.2 CP 1973 acorde con los criterios que han sido recogidos posteriormente en el art. 76 CP 1995, de tal modo que los beneficios penitenciarios hayan de ser aplicados, no a una nueva pena que resulte de la refundición de condenas, sino a cada una de las acumuladas hasta llegar al límite máximo de cumplimiento efectivo de las mismas, es una afirmación que no tiene más alcance que el de las propias alegaciones del actor en su demanda. Se podrá estar o no conforme con la interpretación de legalidad que el Tribunal Supremo haya alcanzado de este artículo en su Sentencia pero ciertamente no tiene fundamento racional alguno sostener que se ha vulnerado el principio de irretroactividad de la ley penal por haber hecho aplicación, como se dice en el recurso “de modo fraudulento” del contenido del art. 78 CP 1995 bajo el ropaje aparente del citado art. 70.2 CP 1973, porque el precepto que se ha aplicado ha sido siempre el art. 70.2 CP 1973, de vigencia al tiempo de comisión de los hechos, y sobre el que ha recaído la mencionada interpretación de la Sala Segunda y no el art. 76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parece que en el caso de autos, y a los efectos de una posible vulneración del principio de legalidad (art. 25.1 CE) la interpretación que las resoluciones judiciales ahora recurridas en amparo hacen del art. 70.2 CP 1973 en exégesis derivada de la STS (Pleno de la Sala Segunda del Tribunal Supremo)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Es por todo este conjunto de razones por las que el Fiscal estima que tampoco concurre en este supuesto la vulneración del principio de legalidad (art. 25.1 en relación con el art. 9.3 CE) en su proscripción de la retroactividad de las normas penales perjudiciales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pueden esgrimirse respecto del primer motivo que refiere al art. 25.1 y 2 CE en relación con el art. 9.1 CE respecto el art. 70.2 y 100 CP y reglamentación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ser desestimada la vulneración del principio de igualdad en la aplicación de la ley que sostiene el demandante en su motivo quinto, apoyado en el denunciado abandono de una línea jurisprudencial anterior que había interpretado el art. 70.2 y concordantes del Código penal de 1973 de una manera distinta a la que ahora ha establecido, generando a su juicio una situación discriminatoria para el recurrente en el tratamiento de sus condenas refundidas. El motivo no puede prosperar, en primer lugar, porque el órgano judicial que ha dictado las dos resoluciones que son objeto de este recurso, la Sección Segunda de la Sala de lo Penal de la Audiencia Nacional, es distinto de aquel, la Sala Segunda del Tribunal Supremo, que hubo dictado la resolución cuya doctrina recogida en el mismo, supuestamente, ha generado la situación personal discriminatoria. Y, en segundo término porque, aun cuando hubiera existido en la Sala Segunda del Tribunal Supremo el criterio de apartarse de una anterior línea jurisprudencial uniforme, debe señalarse que ésta ha recogido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resto de los derechos fundamentales alegados en el motivo segundo, tutela judicial efectiva y libertad (arts. 24. 1 y 17.1 CE) en relación con la motivación del cambio de criterio interpretativo respecto del art. 70.2 y la reglamentación penitenciaria atinente a las redenciones de penas por el trabajo, como el motivo sexto que hace referencia al derecho a la libertad personal (art. 17.1 CE), muestran una especial conexión especialmente respecto del derecho a la intangibilidad de las resoluciones judiciales (art. 24.1 CE) que se plantea en el motivo tercero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resoluciones judiciales queda claro que la contraposición se produce entre: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en el que la Sección Segunda de la Audiencia Nacional acordó acumular diversas penas impuestas en diversos procesos de conformidad con lo establecido en la regla 2 del art. 70 CP fijándose un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30 de marzo de 2009 dictado por la Sección Segunda de la Sala de lo Penal de la Audiencia Nacional en virtud del cual no se aceptaba la propuesta de licenciamiento del centro penitenciario de 2 de abril de 2009 y con aplicación de la doctrina emanada de la STS 197/2006 ordena practicar nueva liquidación a sus luces argumentales. Decisión judicial ratificada por el Auto dictado por la Sala Segunda del Tribunal Supremo el 18 de marzo de 2010 que desestimó un recurso de casación que la defensa del reo había deducido contra el mentado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pues, que el debate se suscita alrededor de ese cambio de criterio de la Sala respecto de cómo debe entenderse la refundición de condenas y, en definitiva, si esa decisión posee alcance de vulneración de los derechos fundamentales en juego y especialmente el derecho a la intangibilidad de las resoluciones judiciales. Es evidente, dice el Ministerio Fiscal, que el núcleo del problema reside en que la Sección Segunda de la Sala de lo Penal de la Audiencia Nacional asume en las resoluciones objeto de la demanda de amparo los criterios expresados por la Sala Segunda del Tribunal Supremo en su Sentencia del Pleno,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en sí no ha variado tanto si se considera el art 70.2 CP o el 76.1 CP en la regla sustancial; el máximo de cumplimiento de la condena del culpable no podría exceder del triple del tiempo por el que se imponga la más grave de las penas en que haya incurrido. Lo que sí ha variado sustancialmente es la interpretación que la Sala Segunda del Tribunal Supremo hace desde la STS 197/2006, de 28 de febrero, respecto de la aplicación de la regla. Con el nuevo criterio interpretativo operado por las resoluciones judiciales ahora recurridas en amparo, se ha ocasionado un evidente perjuicio penológico al demandante de amparo. Lo que debemos analizar es si tal evidente perjuicio posee entidad y encaje en alguno de los derechos fundamentales que se alegan como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intangibilidad de las resoluciones judiciales firmes, así como a la ejecución de las mismas se encuentra amparado en el seno más amplio del art.24.1 CE que comprende el derecho a la tutela judicial efectiva (STC 23/2005, de 14 de febrero). Cabría interrogarse si la naturaleza de unas resoluciones judiciales como los autos, liquidaciones y refundición de condena, poseen la naturaleza de firmes que implican su intangibilidad en términos del amparo propuesto ex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 el que se fijara la refundición de penas, si no es recurrido, o si siéndolo, en cuanto a lo que acontezca en el resultado final del recurso, debe reputarse como firme y su consecuencia debe ser en principio la intangibilidad del mismo. Podría, hipotéticamente hablarse de una ampliación o nuevas condenas, y en tal caso decaer a tal sólo efecto el concepto de intangibilidad. Mas no es el caso de autos. En éste no se varían las condenas objeto de refundición, tampoco el mecanismo limitador, un máximo de 30 años ex regla 2 del art. 70 CP, sino lo que se modifica es una nueva jurisprudencia emanada por la Sala Segunda del Tribunal Supremo, la derivada de la STS 197/2006, de 28 de febrero que hace suya la Sección Segunda de la Sala de lo Penal de la Audiencia Nacional, siendo el núcleo duro de la interpretación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a nuestro juicio, se plantea en relación a la prevalencia entre la exigencia de mantenimiento de una resolución judicial de refundición de penas y la variación de una interpretación jurisprudencial de su núcleo duro normativo que implica consecuencias retroactivamente perjudiciales para la fecha de licenciamiento definitivo del reo, lo que implica inevitablemente la aparición de su derecho a la libertad (art. 17 CE). Se hace evidente que la ejecución de una Sentencia penal debe obedecer siempre a criterios de estricta legalidad, ya que el criterio de legalidad de ejecución penal forma parte del contenido del principio de legalidad (SSTC 11/1987, de 30 de enero y 147/1988, de 14 de julio). En dicha ejecución y en el caso de autos lo esencial es la determinación en el tiempo de una resolución judicial que fijara la liquidación de condena y en su seno los criterios (refundición de condenas, arts. 73-76 CP 1995 y 70 CE 1973) empleados para ello, sin olvidar la necesaria fluidez que impone a las fechas de licenciamiento los criterios de la redención de penas que son especialmente significativos en el Código penal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de recibo que establecidos unos criterios de interpretación normativa para fijar la refundición de condena (Auto de 29 de junio de 2001) y establecidos ellos en resolución judicial, pudieran variarse en virtud de una posterior resolución, como lo son las resoluciones judiciales ahora recurridas en amparo, por vía de remisión a la STS 197/2006, de 28 de febrero, que interpreta de otra manera las normas atinentes.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lo que se desprende es que si estimamos que el Auto de 29 de junio de 2001 que fijó los criterios para la ejecución de la condena operando una interpretación concreta de la normativa en juego, y muy particularmente de la refundición de condenas, se ha visto modificado posteriormente en atención a una nueva interpretación emanada de una decisión de la Sala Segunda del Tribunal Supremo, ello comporta la vulneración del derecho a la intangibilidad de las resoluciones judiciales ex art. 24.1 CE (por todas, STC 209/2005, de 4 de julio), enumerado como tal en el cuarto de los motivos de amparo del presente recurso. Un derecho fundamental que además tiene engarce con el principio de legalidad en relación con la prohibición de retroactividad de la normas penales perjudiciales para el reo (art. 9.3 CE; por todas, STC 223/1997 y STEDH Streletz, Kessler y Krcnz c. Alemania de 22 de marzo de 2001), ya que las garantías de legalidad y seguridad jurídica que exigen ambos preceptos constitucionales deben extenderse no sólo al enjuiciamiento del hecho como tipicidad cierta, taxativa y previsible (por todas SSTC 196/2002, de 28 de octubre y 111/2004, de 12 de julio), sino que lo es asimismo para con la ejecución de las penas, integrándose la irretroactividad de las normas, y su interpretación, desfavorable al reo en el complejo de legalidad del art. 25.l CE (vid. STEDH Puhk c. Estonia de 10 de febrero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hecho de autos las resoluciones judiciales recurridas no se han limitado a variar la fecha de licenciamiento de conformidad con los extremos anejos al devenir del cumplimiento de la pena impuesta sino que han alterado éstos de manera contraria y desfavorable al reo, aportando una revisión interpretativa desfavorable, que supone de facto la creación ex novo de un nuevo marco normativo que ha causado una extensión de la fecha de licenciamiento del interno, y una revisión en la aplicación de los beneficios de la redención de penas. A esas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ello es la estimación del amparo por todas esas vulneraciones constitucionales, derecho a la intangibilidad de las resoluciones judiciales (art. 24.1 CE) en relación con el principio de legalidad penal en relación con la irretroactividad de lo desfavorable para el reo (art. 25.1 en relación con el art. 9.3 CE) y el derecho a la libertad personal (art. 17.1 CE). La liquidación de condena y la fecha de licenciamiento definitivo del reo debe quedar fijada de conformidad con el canon interpretativo que en su momento fijara el Auto de 29 de junio de 2001 y conforme con los criterios del art. 70.2 CP allí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enero de 2012, a propuesta de la Sala Segunda, el Pleno acordó, en virtud del art. 10.1 n)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18 de marzo de 2010 de la Sala Segunda del Tribunal Supremo que desestima el recurso de casación planteado contra el Auto de 30 de marzo de 2009 de la Sección Segunda de la Sala de lo Penal de la Audiencia Nacional (ejecutoria 28-2004, sumario 2-2001) por el que se acordaba no haber lugar al licenciamiento definitivo para el día 2 de abril de 2009, ordenando que se practique una nueva liquidación de condena según la doctrina establecida en la Sentencia del Tribunal Supremo 197/2006, de 28 de febrero, según la cual y modificando el criterio de cómputo anteriormente aplicado, se establece que los beneficios penitenciarios y, en concreto, las redenciones de penas por el trabajo, han de computarse sobre cada una de las penas impuestas y no sobre la condena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24.1, 25.1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motivo de amparo se denuncia,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deba practicarse una nueva liquidación de condena al no admitirse la propuesta por el centro penitenciario y que hubiera supuesto el licenciamiento definitivo del recurrente el día 2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 14 CE); del principio de legalidad penal (art. 25.1 CE) —desde la doble perspectiva de la ilegitimidad del nuevo criterio interpretativo y la aplicación retroactiva de una ley desfavorable—; del derecho a la libertad (art. 17.1 CE); y del derecho a la tutela judicial efectiva (art. 24.1 CE), en su vertiente del derecho a la intangibilidad de las resoluciones judiciales firmes,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ha de tenerse en cuenta que no nos encontramos en el ámbito propio del derecho fundamental consagrado en el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—y en contra de lo sostenido por el Ministerio Fiscal—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este motivo no puede prosperar, en primer lugar, porque el órgano judicial que ha dictado la resolución objeto de este recurso, la Sección Segunda de la Sala de lo Penal de la Audiencia Nacional, es distinto de aquél, la Sala Segunda del Tribunal Supremo, que hubo dictado la resolución cuya doctrina recogida en el mismo, supuestamente, ha generado la situación personal discriminatoria; pero, en cualquier caso, porque, aun cuando hubiera existido en la Sala Segunda del Tribunal Supremo el criterio de apartarse de una anterior línea jurisprudencial uniforme, debe señalarse que ésta ha recogido un conjunto de razonamientos en interpretación de la legalidad aplicable al caso que, desde la perspectiva de la racionalidad, justifican dicho eventual cambio de criterio.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(entre otras,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se limitará a analizar si la respuesta judicial obtenida por el recurrente en las resoluciones impugnadas en el presente procedimiento de amparo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obtener el licenciamiento definitivo. El Ministerio Fiscal también entiende concurrentes estas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Autos de fecha 29 de noviembre de 2001 y 10 de mayo de 2005 en los que la Audiencia Nacional acordó acumular diversas penas impuestas en diversos procesos de conformidad con lo establecido en la regla 2 del art. 70 CP fijándose un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30 de marzo de 2009 dictado por la Sección Segunda de la Sala de lo Penal de la Audiencia Nacional en virtud del cual no se aceptaba la propuesta de licenciamiento del centro penitenciario para el 2 de abril de 2009 y con aplicación de la doctrina emanada de la STS 197/2006 ordenaba practicar nueva liquidación a sus luces argumentales. Decisión judicial ratificada por el Auto dictado por la Sala Segunda del Tribunal Supremo el 18 de marzo de 2010 que desestimó un recurso de casación que la defensa del reo había deducido contra el mentado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consta ninguna otra resolución judicial relevante del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ninguna de las resoluciones judiciales a las que se refiere el recurrente y el Ministerio Fiscal puede derivarse, en el presente caso, el efecto de intangibilidad respecto al criterio del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Autos de acumulación de condenas y fijación del límite máximo de cumplimiento, que cita el Ministerio Fiscal como resoluciones intangibles que ha sido ilegítimamente desconocida, se limita a hacer efectiva la previsión legal (arts. 988 de la Ley de enjuiciamiento criminal y 70.2 CP 1973). No existe en ellos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puede concluirse que la decisión de no revisar las condenas se sustentara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de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rehacer su vida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José Legorburu Guederiagha.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4514-2010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emite el Magistrado don Luis Ignacio Ortega Álvarez con relación a la Sentencia dictada en el recurso de amparo avocado al Pleno núm. 4514-2010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fundamentos y el fallo del Auto cuya intangibilidad se analiza en esta Sentencia son de redacción idéntica a los examinados en el recurso de amparo avocado al Pleno núm. 7325-2006, sobre la que formulé Voto particular disidente, cuyo contenido interpretativo de la ratio decidendi del mismo, así como los criterios de convencimiento sobre la corrección de la interpretación de dicha ratio decidendi, son trasladables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