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4174-2006, promovido por ochenta y un Diputados del Grupo Parlamentario Popular del Congreso de los Diputados, contra el Real Decreto-ley 4/2006, de 24 de febrero, por el que se modifican las funciones de la Comisión Nacional de Energía. Ha intervenido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11 de abril de 2006, tuvo entrada en el Registro General de este Tribunal escrito de don Ignacio Astarloa Huarte-Mendicoa, Diputado del Congreso y comisionado por ochenta Diputados del Grupo Parlamentario Popular, que interponía recurso de inconstitucionalidad contra el Real Decreto-ley 4/2006, de 24 de febrero, por el que se modifican las funciones de la Comisión Nacional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una vez indicada la concurrencia de los requisitos formales relativos al planteamiento en plazo del recurso y a la legitimación de los recurrentes y después de exponer la regulación existente a la entrada en vigor del Real Decreto-ley 4/2006, se formulan los siguientes reproches de inconstitucionalidad a la norma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impugna el Real Decreto-ley 4/2006 por vulnerar el art. 86.1 CE, al no existir una situación de extraordinaria y urgente necesidad que legitime al Gobierno para dictar aquél. Los recurrentes consideran que las razones que se exponen en la exposición de motivos no acreditan en los términos de la jurisprudencia constitucional la concurrencia de la situación de extraordinaria y urgente necesidad: para fundamentar la urgencia en dictar una norma que introduce reformas no es razón suficiente aducir que es urgente que sus destinatarios conozcan tales reformas. Tampoco es justificación suficiente la que aparece formulada en la memoria justificativa del Real Decreto-ley, “la conocida existencia de operaciones en curso y previsibles de profundo calado, con efectos que pueden resultar de difícil e imposible corrección”, pues tales operaciones no eran imprevisibles y se han planteado en distintas ocasiones en los últimos años. Y aunque hubiera situación de urgencia, no se aprecia la conexión o relación de adecuación entre tal situación y las medidas adoptadas por el Real Decreto-ley. Si una mejor garantía de la seguridad pública exige añadir nuevas causas por las que la Comisión Nacional de Energía puede condicionar o denegar una operación y tal cambio normativo es urgente debido a la existencia de operaciones en curso, no se entiende por qué el nuevo régimen, a tenor de la disposición transitoria única del Decreto-ley, no es de aplicación sin distinción alguna a todas las operaciones pendientes de ejecución y no solo a las no autorizadas. Finalmente, se señala que “el motivo real que ha determinado tal adopción es, con toda probabilidad, la voluntad del Gobierno de poner trabas a la OPA por el 100% del capital de ENDESA, S.A. presentada por la entidad alemana E.ON Zwölfte Verwaltungs GmbH, filial al 100 por ciento de la sociedad alemana E.ON, AG, (en adelante, ‘E.ON’) oferta competidora de la que con anterioridad había presentado por el mismo porcentaje de ENDESA, S.A. la sociedad española Gas Natural SDG, S.A. Ese motivo se hace explícito en la Memoria Justificativa del Real Decreto-Ley”, en los términos antes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impugna el párrafo segundo del apartado 1 de la disposición adicional undécima, 3.1.14 de la Ley 34/1998, de 7 de octubre, del sector de hidrocarburos, en la redacción dada por el artículo único del Real Decreto-ley 4/2006, por vulneración del derecho fundamental a la libertad de empresa (art. 38 CE). Dicho párrafo, que somete a autorización administrativa previa determinadas operaciones de adquisición que anteriormente estaban exentas, introduce una restricción al derecho fundamental, violando, por lo demás, lo dispuesto en los arts. 43 y 56 del Tratado constitutivo de la Comunidad Europea (TCE). Con arreglo a la jurisprudencia constitucional, la validez de las medidas restrictivas de la libertad de empresa está condicionada a que sean proporcionadas para la satisfacción de un fin constitucionalmente legítimo y que no exista una alternativa que sea menos restrictiva. Los recurrentes razonan que en el ordenamiento español existen otras medidas idóneas para satisfacer el señalado fin de seguridad pública que son menos restrictivas para la libertad de empresa. Con anterioridad al Real Decreto-ley 4/2006, tanto la Ley del sector eléctrico como la Ley del sector de hidrocarburos contenían previsiones tendentes a garantizar la existencia de abastecimiento mínimo de energía eléctrica y de productos petrolíferos, que eran menos restrictivas del derecho fundamental que la autorización ex ante impuesta por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impugna la disposición transitoria única del Real Decreto-ley por vulneración del principio de irretroactividad de las disposiciones restrictivas de los derechos individuales (art. 9.3 CE). La nueva exigencia de autorización administrativa para operaciones que hasta entonces no estaban sujetas a la misma constituye una disposición restrictiva del derecho fundamental a la libertad de empresa, sometida al principio de irretroactividad de las disposiciones restrictivas de los derechos individuales (art. 9.3 CE). La disposición transitoria única somete las operaciones planteadas y pendientes de ejecución en el momento de entrada en vigor del Real Decreto-ley a la necesidad de obtener la autorización de la Comisión Nacional de Energía. Tal régimen confiere alcance retroactivo a la extensión del ámbito objeto de aplicación de la función decimocuarta operado por el Real Decreto-ley, pues se aplica a operaciones ya iniciadas, que se pusieron en marcha durante la vigencia de un régimen jurídico que no contemplaba tal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se impugna la disposición transitoria única del Real Decreto-ley por vulneración del principio de igualdad ante la ley (art. 14 CE). A juicio de los recurrentes, se dispensa un trato jurídico distinto a las entidades que pretendan realizar las operaciones en cuestión en función de que con anterioridad a la entrada en vigor del Real Decreto-ley hubieran obtenido o no la autorización de la Comisión Nacional de Energía al amparo del régimen anterior. Invocando diversa jurisprudencia constitucional, se alega que tal discriminación únicamente se ajustaría a la Constitución en la medida en que el criterio de diferenciación entre una y otra y las consecuencias jurídicas derivadas de la diferenciación fueran relevantes desde la perspectiva del fin perseguido por la norma en cuestión. Dicha circunstancia no se acreditaría en el presente caso, pues desde la perspectiva del fin del Real Decreto-ley 4/2006 —proteger los intereses generales de la política energética española y, en particular, la seguridad pública— es irrelevante que una operación hubiera obtenido una autorización anterior cuando ésta no tuvo en cuenta tales intereses. Tanto el criterio diferenciador como las consecuencias derivadas de su aplicación son incoherentes con el fin normativo, no guardan relación alguna y no son necesarios para satisfacer la finalidad de la norma. Frente a la conclusión anterior no cabe oponer la doctrina constitucional sobre la discriminación derivada de la sucesión normativa, pues se trata de operaciones que desde el punto temporal son idénticas, al hallarse planteadas en la fecha de entrada en vigor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y último lugar, se impugna la disposición transitoria única del Real Decreto-ley por vulneración del principio de seguridad jurídica (art. 9.3 CE). La conclusión de la vulneración del citado principio constitucional se fundamenta: a) en la inexistencia de intereses generales que justifiquen la aplicación retroactiva del Real Decreto-ley, pues el interés general de la seguridad jurídica, entendido como garantía del abastecimiento de productos petrolíferos y de electricidad, se encuentra ya suficientemente protegido por técnicas preexistentes en el ordenamiento español y menos restrictivas de los derechos afectados; b) en la imprevisibilidad de la reforma normativa establecida, pues va en contra de los pronunciamientos de la Comisión respecto a normas españolas similares y de la postura manifestada por el mismo Gobierno español autor del Real Decreto-ley en procedimientos legislativos tendentes a la eliminación de obstáculos a la libre circulación de capitales; c) en la trascendencia de las decisiones económicas adoptadas por los agentes económicos afectados, pues el simple planteamiento formal de una operación, aunque no se haya ejecutado todavía, entraña la realización de gastos de elevadísima cuantía y la manifestación pública de las orientaciones estratégicas de la compañía que plantea la 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mayo de 2006 la Sección Tercera de este Tribunal acordó admitir a trámite el recurso de inconstitucionalidad y dar traslado del mismo y de los documentos presentados, conforme establece el art. 34 de la Ley Orgánica del Tribunal Constitucional (LOTC), al Congreso de los Diputados y al Senado, por conducto de sus Presidentes, y al Gobierno, por conducto del Ministro de Justicia, al objeto de que, en el plazo de quince días, pudieran personarse en el procedimiento y formular alegaciones. Asimismo se acordó publicar la incoación del procedimiento en el “Boletín Oficial del Estado”, lo que se verificó el 26 de mayo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mayo de 2006 la Sección Tercera de este Tribunal acordó tener por personado al Abogado del Estado y, según interesaba, prorrogarle en ocho días el plazo concedido en el proveído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Abogado del Estado se registró en el Tribunal el 15 de junio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analizar los argumentos de la demanda, efectúa algunas precisiones previas. Por un lado, subraya que la nueva redacción de la disposición adicional undécima, 3.1.14 de la Ley 34/1998, de 7 de octubre, del sector de hidrocarburos (en adelante, función decimocuarta), introducida por el Real Decreto-ley, extiende el requisito de autorización, que ya se exigía cuando la sociedad adquirente realizara actividades reguladas, al caso en que sea la adquirida quien desarrolle tales actividades; define con mucha mayor precisión los casos en que la Comisión Nacional de Energía puede denegar o condicionar la autorización, especificando el objeto de la supervisión, aunque todos los nuevos motivos de denegación o condicionamiento eran perfectamente subsumibles en la amplia fórmula que existía previamente. Por otro lado, considera que la demanda presupone “el motivo real” determinante de la adopción del Real Decreto-ley sin añadir los necesarios razonamientos justificativos y elementos acreditativos de esa intencionalidad. La única finalidad que resulta del Real Decreto-ley, de su exposición de motivos y de la memoria justificativa es, según la representación procesal del Gobierno, la de que todas las operaciones de concentración en un sector tan relevante como el energético queden sometidas a la supervisión del organismo regulador y todo lo demás son suposiciones sin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Siguiendo el orden de las alegaciones de la demanda, en respuesta a la primera impugnación, comienza recordando la doctrina constitucional sobre la concurrencia de la extraordinaria y urgente necesidad habilitante del real decreto-ley: explicitación y razonamiento de la concurrencia de la situación de extraordinaria y urgente necesidad que se pretende afrontar con el instrumento normativo; valoración no abusiva o no arbitraria de la concurrencia del presupuesto; y relación directa o de congruencia entre la situación que constituye el presupuesto habilitante y las medidas que se adoptan en el Decreto-ley. Los tres requisitos se cumplen en el presente caso. Por lo que respecta al primer requisito, señala que la urgencia se refiere a la necesidad de poner fin a las insuficiencias advertidas en la regulación de la Ley 34/1988, de 7 de octubre, del sector de hidrocarburos, como se desprende de la exposición de motivos. Además, quizá la justificación más clara se encuentra en la memoria justificativa: “se requiere que las medidas propuestas sean adoptadas con carácter de extrema y urgente necesidad, habida cuenta de la conocida existencia de operaciones en curso y previsibles de profundo calado, con efectos que pueden resultar de difícil o imposible corrección”.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requisito también se cumple por cuanto la calificación de la urgencia realizada por los órganos políticos no es manifiestamente arbitraria o abusiva. Los argumentos aducidos en contrario en la demanda son rechazados, porque, por un lado, las posturas de la Comisión o del Gobierno español sobre determinada cuestión nada aportan al análisis de la urgencia del Real Decreto-ley y, por otro, porque el Tribunal Constitucional no exige que las circunstancias que motivan el Real Decreto-ley sean totalmente imprevisibles, sino que basta con que “por razones difíciles de prever se requiera una acción normativa inmediata” (STC 329/2005, de 15 de diciembre), y las operaciones de concentración son sin duda difíciles de prever, pues se mantienen ocultas hasta el mismo momento en que se solicitan las correspondientes autorizaciones. Parece evidente que la realización de una importante operación de concentración empresarial en un sector tan vital como el energético, operación que eventualmente podría afectar a la regularidad del suministro, es una circunstancia económica difícil de prever y que exige una respuesta inmediata, máxime teniendo en cuenta que con la legislación vigente antes del Real Decreto-ley tal operación no estaba sometida a ningún tipo de supervisión por los organismos reguladores del mercado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único argumento de la demanda para rechazar el cumplimiento del tercer requisito, la relación directa o de congruencia entre la situación que constituye el presupuesto habilitante y las medidas que se adoptan en el Decreto-ley, es que la disposición transitoria única declara inaplicable la reforma a las operaciones ya autorizadas por la Comisión Nacional de Energía. La demanda discute la urgencia más que la congruencia de las medidas adoptadas con aquella urgencia, y su razonamiento es contradictorio con la alegación de vulneración del principio de irretroactividad de las disposiciones restrictivas de derechos individuales, pues si hubiera declarado aplicable la reforma a las operaciones ya supervisadas y autorizadas, entonces habría más razón para entender vulnerado dicho principio. Es el respeto a situaciones con un mayor grado de consolidación lo que determinó que los órganos políticos no sometieran a nueva autorización las operaciones ya supervisadas y no la valoración sobre la urgencia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vulneración alegada del art. 38 CE relativo a la libertad de empresa, el Abogado del Estado señala que, como toda libertad, la de empresa se encuentra sometida a limitaciones, si bien estas han de ser proporcionadas y razonables. El propio art. 38 CE somete el derecho a dos límites: “las exigencias de la economía general y, en su caso, de la planificación”. Por otro lado, la libertad de empresa también estaría sujeta a las limitaciones derivadas de la función social de la propiedad (arts. 33 y 128 CE) o de la necesaria protección de consumidores y usuarios (art. 51 CE). El Real Decreto-ley viene a ampliar subjetivamente una autorización que ya se exigía antes y a especificar con mayor rigor el contenido de la supervisión, sin que la previsión hubiera suscitado ninguna duda de constitucionalidad antes de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necesaria interpretación del art. 38 CE conforme a los arts. 43 y 56 TCE, se afirma que el propio Derecho comunitario permite que las legislaciones nacionales establezcan limitaciones a tales libertades; que el Tribunal de Justicia ha declarado que una libertad fundamental comunitaria puede ser limitada mediante una normativa nacional, si se halla justificada por algunas de las causas previstas en el Tratado o por razones de imperioso interés general; y que la seguridad pública es causa legítima para establecer limitaciones a las libertades de establecimiento y circulación de capitales: la seguridad pública incluye las medidas necesarias para garantizar el suministro de productos o servicios esenciales, entre los que ocupan un lugar cualificado los energéticos. También se señala que la Comisión, en la petición de información dirigida al Reino de España en relación con el Decreto-ley, no cuestiona la posibilidad de adoptar medidas limitativas, sino simplemente la claridad de los motivos que permiten condicionar o denegar la autorización y el momento de la intervención administrativa, considerando que la supervisión ex post es más proporcional y menos restrictiva, reproches que, en su contestación, España considera infundados.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tocante a la proporcionalidad de la restricción, señala que el fin de las medidas recogidas en el Real Decreto-ley es el fin último de toda la legislación energética, garantizar un suministro suficiente y de calidad, y que si siempre se ha considerado proporcionada la previa supervisión por el órgano regulador de la adquisición de participaciones cuando el adquirente es una sociedad regulada, la misma consideración debe merecer la extensión del régimen a la adquisición de participaciones en sociedades reguladas. La supervisión de las operaciones de concentración en que el adquirido realice actividad regulada no sólo es proporcionada, sino imprescindible para garantizar que aquella no pueda afectar negativamente al suministro energético. El argumento definitivo a favor de su proporcionalidad es la forma en que se articula la limitación de acuerdo con lo previsto en el art. 18 del Real Decreto 1339/1999, de 31 de julio, regulador del procedimiento de autorización: tanto la brevedad del plazo máximo disponible por la Comisión Nacional de Energía para resolver expresamente (un mes), como el valor del silencio (positivo), acreditan que el mecanismo supervisor procura la menor incidencia posible en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alegación de la vulneración del principio de irretroactividad de las disposiciones restrictivas de los derechos individuales (art. 9.3 CE), el Abogado del Estado considera que está carente del necesario razonamiento justificativo. De acuerdo con la doctrina constitucional, sólo la retroactividad de grado máximo se encuentra afectada por la previsión del art. 9.3 CE, no en cambio la de grado medio, que habría que examinarse, en su caso, desde la perspectiva de su incidencia sobre la seguridad jurídica. Una operación de concentración en curso no es una situación cuyos efectos se hayan consumado: es una situación expectante que todavía no ha comenzado a producir efecto alguno. Además, el art. 9.3 CE sólo prohíbe la retroactividad de las disposiciones “restrictivas de derechos individuales”, y de una operación en curso no ha nacido ningún derecho individual que pueda resultar restringido por la nueva normativa. Si la Constitución no prohíbe una incidencia pro futuro en derechos adquiridos (STC 97/1990, de 24 de mayo, FJ 4), menos lo hará respecto de situaciones expectantes, futuras o pendientes de consolidación (STC 97/1990,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respecta a la alegación de vulneración del principio de igualdad, el Abogado del Estado afirma que se trata de un simple supuesto de sucesión normativa. Las situaciones que, de acuerdo con el Derecho transitorio, queden sometidas a la legislación derogada, naturalmente recibirán un tratamiento legal distinto al de las situaciones que se sujeten a la normativa que entra en vigor. El Tribunal Constitucional tiene declarado que en los casos de sucesión normativa estamos simplemente ante la aplicación de la ley en el tiempo, en la que el desigual tratamiento de los supuestos sometidos a uno u otro régimen es natural consecuencia de la libertad del legislador de configurar la realidad y de la “necesaria evolución del ordenamiento jurídico” (ATC 367/2003, de 13 de noviembre, FJ 5). En supuestos de sucesión normativa, lo relevante no es la desigualdad consustancial a todo proceso de reforma, sino que las normas transitorias definan el momento de aplicación de la nueva regulación sin incurrir en la arbitrariedad proscrita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la demanda es incongruente al alegar una irretroactividad contraria al art. 9.3 CE y al tiempo exigir en otro punto argumental una mayor retroactividad de la misma norma. En cualquier caso, no existe discriminación constitucionalmente reprochable. No es válido el tertium comparationis que sugiere la demanda para justificar la discriminación. Las operaciones en curso que hayan obtenido una autorización de la Comisión Nacional de Energía no están en la misma situación que las que no hayan sido sometidas a supervisión por el organismo regulador y, por tanto, no hayan obtenido la oportuna autorización. Las operaciones autorizadas han sido sometidas a la supervisión del organismo regulador, garantizando la inexistencia de “riesgos significativos o efectos negativos, directos o indirectos, sobre las actividades reguladas”. Además, el otorgamiento, condicionado o no, de la autorización genera ciertas expectativas favorables al buen fin de la operación, con las importantes repercusiones económicas que tales expectativas provocan. Como en cualquier norma de derecho transitorio, el legislador ha de buscar el difícil equilibrio de intentar la más inmediata aplicación de la nueva normativa —que se introduce porque se considera beneficiosa y, por tanto, es lógico que se pretenda su pronta aplicación— y, al tiempo, no alcanzar irrazonablemente a situaciones que han adquirido un cierto grado de consolidación. El Real Decreto-ley, con el mejor criterio a juicio del Abogado del Estado, ha considerado que no era razonable ni proporcionado someter a nueva autorización operaciones ya supervisadas.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lo alegado por los recurrentes, la circunstancia de que una operación haya sido autorizada y sometida a la supervisión de la Comisión Nacional de Energía sí guarda relación con el sentido de la norma y no es arbitraria en el sentido de la STC 190/2005, de 7 de julio, FJ 4. Si una de las finalidades de la norma es garantizar la previa supervisión de todas las operaciones de concentración relativas a una entidad regulada, el hecho de que la operación se hubiera sometido ya a la previa autorización de la Comisión Nacional de Energía tiene una evidente conexión con la finalidad del Real Decreto-ley. La disposición transitoria única parte, por tanto, de un dato cierto y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en relación con la vulneración de la seguridad jurídica, el Abogado del Estado señala que el Tribunal Constitucional tiene declarado que, a diferencia de la retroactividad “auténtica o de grado máximo”, la retroactividad “impropia o de grado medio”, definida como la incidencia en “situaciones jurídicas actuales aún no concluidas”, no estaría sujeta a la prohibición del art. 9.3 CE, aunque podría tener relevancia constitucional desde la perspectiva de la protección de la seguridad jurídica (STC 182/1997, de 28 de octubre, FJ 11). Cuando la norma de retroactividad media fuera “absolutamente imprevisible”, “solo podría reputarse conforme con la Constitución si existieran claras exigencia de interés general que justificaran que el principio de seguridad jurídica que, insistimos, no es un valor absoluto, debería ceder ante otros bienes o valores constitucionalmente protegidos” [STC 182/1997, de 28 de octubre, FJ 13 a)]. Pues bien, el Abogado del Estado señala que, hasta cierto punto, parece razonable prever que, ante una operación de concentración, en un sector tan directamente relacionado con intereses vitales, el interés general impondría una reserva legal que sometiera la operación a la supervisión del organismo regulador. Y, en cualquier caso, aun aceptando la dificultad de previsión de la reforma, no cabe duda de que respecto de las operaciones en curso no sometidas a la supervisión del organismo regulador, existía un evidente interés público en que se verificara que la operación no ponía en peligro la seguridad pública, entendida como regularidad y calidad del suministro energético. En el difícil equilibro entre la seguridad jurídica y el interés público tutelado por el Real Decreto-ley, el legislador, con buen criterio, entendió que prevalecía el segundo respecto de las operaciones no supervisadas ni autorizadas, pues era precisa la intervención del organismo regulador que garantizara que no iban a afectar al suministro, mientras que, en cambio, en las operaciones ya autorizadas existía una suficiente garantía del interés público que hacía innecesario el sacrificio de la seguridad jurídica. Contra lo que argumenta la demanda, la posibilidad de analizar las operaciones autorizadas bajo el prisma, técnicamente más acabado, del nuevo listado de motivos de denegación o condicionamiento, es muy dudoso que pueda justificar el menoscabo de la seguridad jurídica, pues los nuevos motivos son únicamente especificación del genérico motivo que recogía la redacción originaria con el fin de fortalecer la seguridad jurídica, por lo que resultaría profundamente incongruente justificar el sacrificio de la seguridad jurídica con una aplicación retroactiva de una nueva regulación que viene precisamente a reforzarla.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12 de febrero de 2013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se interpone por ochenta y un Diputados del Grupo Parlamentario Popular en el Congreso de los Diputados, contra el Real Decreto-ley 4/2006, de 24 de febrero, por el que se modifican las funciones de la Comisión Nacional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que fundamentan el recurso pueden agruparse en tres grupos: la vulneración del art. 86.1 CE por el Real Decreto-ley, la vulneración del derecho fundamental a la libertad de empresa (art. 38 CE) por el artículo único del Real Decreto-ley 4/2006 que da nueva redacción al párrafo segundo del apartado 1 de la disposición adicional undécima 3.1.14 de la Ley 34/1998, de 7 de octubre, del sector de hidrocarburos, y la vulneración de los principios de irretroactividad de las disposiciones restrictivas de los derechos individuales (art. 9.3 CE), de igualdad ante la ley (art. 14 CE) y de seguridad jurídica (art. 9.3 CE) por la disposición transitoria única del Real Decreto-ley 4/2006.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propone la desestimación total del recurso, al entender que los preceptos impugnados son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del recurso que nos ocupa exige hacer una precisión previa sobre el impacto que en su objeto pueda haber tenido la aprobación de la Ley 2/2011, de 4 de marzo, de economía sostenible. El apartado cinco de la disposición final trigésima tercera de la Ley 2/2011 ha dado una nueva redacción a la función decimocuarta del punto 1 de apartado tercero de la disposición adicional undécima de la Ley 34/1998, de 7 de octubre, del sector de hidrocarburos. En consecuencia, la concreta redacción que el artículo único del Real Decreto-ley 4/2006 dio a la función decimocuarta del punto 1 del apartado tercero de la disposición adicional undécima de la Ley 34/1998, de 7 de octubre, del sector de hidrocarburos ha quedado derogada y, con ello, también el artículo único del Real Decreto-ley 4/2006.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y como ha recordado la STC 1/2012, de 13 de enero, citando a su vez las SSTC 134/2004, de 22 de julio, y 68/2007, de 28 de marzo, es reiterada la doctrina constitucional que establece que “no cabe dar una respuesta unívoca y general a la cuestión relativa a los efectos de la modificación, derogación o pérdida de vigencia de una disposición legal, ulterior a su impugnación, sobre la eventual desaparición del objeto de los diversos procesos constitucionales, debiendo distinguirse entre la cuestión y el recurso de inconstitucionalidad como manifestaciones procesales distintas, no pudiendo resolverse apriorísticamente en función de criterios abstractos o genéricos (por ejemplo, SSTC 233/1999, de 12 de diciembre, FJ 3; 148/2000, de 1 de junio, FJ 3; 190/2000, de 13 de julio, FJ 2; y 16/2003, de 30 de enero, FJ 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de este planteamiento de principio sobre el recurso de inconstitucionalidad, tal y como ha recordado la STC 124/2003, de 19 de junio, FJ 3, por tratarse de un “recurso abstracto y orientado a la depuración objetiva del ordenamiento”, determina que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De modo que, si bien carece de sentido, en el seno de un recurso de inconstitucionalidad, “pronunciarse sobre normas que el mismo legislador ha expulsado ya de dicho ordenamiento ... de modo total, sin ultraactividad” (SSTC 160/1987, de 27 de octubre, FJ 6; 150/1990, de 4 de octubre, FJ 8; y 385/1993, de 23 de diciembre, FJ 2), puede resultar útil y conveniente su enjuiciamiento, aun cuando hayan sido derogadas, para excluir “toda aplicación posterior de la disposición legal controvertida, privándola así del vestigio de vigencia que pudiera conservar” (SSTC 160/1987, de 27 de octubre, FJ 6; y 385/1993, de 23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lo que al recurso de inconstitucionalidad se refiere, la derogación formal o la sustitución del contenido de una disposición jurídica por otro tiene, como regla general, efecto extintivo del objeto. Esto es lo que ocurre en el presente proceso con el artículo único del Real Decreto-ley 4/2006. La regla general de la pérdida de objeto se ha de extender igualmente a la disposición transitoria única del Real Decreto-ley 4/2006: aunque no ha sido formalmente derogada, su única finalidad era establecer el momento inicial de la aplicación de una regulación que no existe en el momento de dictar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nuestra doctrina, la regla general de la pérdida de objeto consiente, sin embargo, por su propio fundamento, ciertas excepciones y, entre ellas, una que ahora interesa en consideración a la primera de las alegaciones en que se fundamenta el presente recurso de inconstitucionalidad. En efecto, en el recurso se cuestiona la legitimidad constitucional de la adopción de una norma de urgencia como el Real Decreto-ley 4/2006, por cuanto se habría incumplido el presupuesto de la “extraordinaria y urgente necesidad” justificativa de la aprobación de un decreto-ley. Constituye reiterada doctrina constitucional, recordada por la citada STC 1/2012, de 13 de enero, FJ 4 (con cita de las STC 155/2005, de 9 de junio, FJ 2; y 68/2007, de 28 de marzo, FJ 4) que “es algo fuera de duda” que “el control del Decreto-ley en cuanto tal no está impedido por el hecho de la novación operada por la Ley, siguiendo lo que dispone el art. 86.3”, pues el interés constitucional “de ajustar el uso del instrumento del Decreto-ley al marco del art. 86.1 ... no puede considerarse satisfecho por la derivación del Decreto-ley hacia el cauce del art. 86.3”, ya que si bien “pudiera ... pensarse que una eficacia retroactiva de la Ley que diera cobijo a los efectos producidos por el Decreto-ley puede privar de sentido a la impugnación dirigida ... al Decreto-ley, ... esto no es así, pues ... velar por el recto ejercicio de la potestad de emitir Decretos-leyes, dentro del marco constitucional, es algo que no puede eludirse por la utilización del procedimiento del art. 86.3 (STC 111/1983, de 2 de diciembre, FJ 3; en el mismo sentido, más recientemente, STC 182/1997, de 28 de octubre, FJ 1)”. En este mismo sentido hemos declarado también que “la Constitución únicamente admite la legislación de urgencia bajo condiciones cuya inobservancia constituye una infracción que sólo puede repararse con una declaración de inconstitucionalidad, sin que los efectos derogatorios de la legislación sobrevenida o los convalidantes de la asunción del Decreto-ley por el Congreso de los Diputados puedan corregir un defecto que ha de concebirse como necesariamente insubsanable, pues, en otro caso, los límites del art. 86 CE sólo serían operativos en el tiempo que media entre el Decreto-ley y su convalidación o su conversión en ley, esto es, en un tiempo en el que este Tribunal nunca podrá materialmente pronunciarse” (STC 155/2005, de 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que, en todo caso, pervive el objeto del presente recurso por lo que hace a la alegación de vulneración del art. 86.1 CE por el Real Decreto-ley 4/2006.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y como quedó reflejado en los antecedentes de esta resolución, los recurrentes sostienen que los preceptos adoptados, al ser aprobados bajo la forma de decreto-ley, vulneraron lo dispuesto en el art. 86.1 CE, por no concurrir la “extraordinaria y urgente necesidad” habilitante del uso de dicha facultad, dado que no puede justificarse su aprobación por ninguna de las razones apuntadas en su exposición de motivos o en la memoria justificativa, ni tampoco se aprecia la conexión o relación de adecuación entre tal situación y las medidas adoptadas por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sustancialmente, que la extraordinaria y urgente necesidad justificativa de la aprobación del Decreto-ley derivaría de la necesidad de poner fin a las insuficiencias advertidas en la regulación de la Ley 34/1988, de 7 de octubre, del sector de hidrocarburos, como se desprende de la exposición de motivos y tal como se expresa en la memoria justificativa, y que la calificación de la urgencia realizada por los órganos políticos no es manifiestamente arbitraria o abusiva. Considera que las operaciones de concentración son sin duda difíciles de prever, pues se mantienen ocultas hasta el mismo momento en que se solicitan las correspondientes autorizaciones, y que la realización de una importante operación de concentración empresarial en un sector tan vital como el energético, operación que eventualmente podría afectar a la regularidad del suministro, es una circunstancia económica difícil de prever y que exige una respuesta inmediata, máxime teniendo en cuenta que con la legislación vigente antes del Real Decreto-ley tal operación no estaba sometida a ningún tipo de supervisión por los organismos reguladores del mercado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acotado el problema constitucional, a la luz del art. 86.1 CE debemos acudir a la doctrina establecida por este Tribunal sobre el sentido y alcance del presupuesto legitimador de la extraordinaria y urgente necesidad. Dicha doctrina ha sido reiterada por la STC 68/2007, de 28 de marzo, y más recientemente por las SSTC 31/2011, de 17 de marzo, 137/2011, de 14 de septiembre, y 1/2012, de 13 de enero, con cita, entre otras, de las SSTC 182/1997, de 28 de octubre; 11/2002, de 17 de enero; 137/2003, de 3 de julio; 189/2005, de 7 de julio, FJ 3, y 329/2005, de 15 de diciembre, FJ 5. En estas Sentencias, tras reconocer el peso que en la apreciación de la extraordinaria y urgente necesidad ha de concederse “al juicio puramente político de los órganos a los que incumbe la dirección del Estado”, declaramos que “la necesaria conexión entre la facultad legislativa excepcional y la existencia del presupuesto habilitante” conduce a que el concepto de extraordinaria y urgente necesidad que se contiene en la Constitución no sea,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Por ello mismo dijimos que es función propia de este Tribunal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y, en consecuencia, declarar la inconstitucionalidad de un decreto-ley por inexistencia del presupuesto habilitante por invasión de las facultades reservadas a las Cortes Generales por la Constitución (SSTC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también hemos afirmado,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de 31 de mayo, FJ 3), de manera que estas últimas guarden una relación directa o de congruencia con la situación que se trata de afrontar” (STC 182/1997, de 28 de octubre, FJ 3). Ello quiere decir que la definición expresa de la extraordinaria y urgente necesidad no ha de contenerse siempre en el propio real decreto-ley, sino que tal presupuesto puede ser deducido igualmente de una pluralidad de elementos. Así pues, el examen de la concurrencia del citado presupuesto habilitante de la “extraordinaria y urgente necesidad” siempre se ha de llevar a cabo mediante la valoración conjunta de todos aquellos factores que determinaron al Gobierno a dictar la disposición legal excepcional,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 debiendo siempre tenerse presentes “las situaciones concretas y los objetivos gubernamentales que han dado lugar a la aprobación de cada uno de los Decretos-leyes enjuiciados” (SSTC 6/1983, de 4 de febrero, FJ 5; 182/1997, de 28 de octubre, FJ 3; 11/2002, de 17 de enero, FJ 4; y 137/2003, de 3 de julio, FJ 3). Este Tribunal ha señalado asimismo que “la valoración de la extraordinaria y urgente necesidad de una medida puede ser independiente de su imprevisibilidad e, incluso, de que tenga su origen en la previa inactividad del propio Gobierno siempre que concurra efectivamente la excepcionalidad de la situación” (STC 1/2012, de 13 de enero, FJ 6), pues “lo que aquí debe importar no es tanto la causa de las circunstancias que justifican la legislación de urgencia cuanto el hecho de que tales circunstancias efectivamente concurran” (SSTC 11/2002, de 17 de enero, FJ 6; y 68/2007, de 28 de marzo, FJ 8). También hemos de recordar que este Tribunal ha insistido en que el control jurídico de este requisito no debe suplantar a los órganos constitucionales que intervienen en la aprobación y convalidación de los reales decretos-leyes, sino que ha de apoyarse en una valoración de conjunto de las circunstancias que rodean al caso (STC 332/2005, de 15 de diciembre, FJ 5; y 31/2011,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cabe añadir, por último, que la perspectiva desde la que ha de examinarse la concurrencia del presupuesto habilitante del art. 86.1 CE es “la del momento en que se aprueba el correspondiente decreto-ley, de manera que el presupuesto de la validez de dicha norma no queda alterado por datos o circunstancias posteriores que pudieran cuestionar la apreciación de la urgencia o de la necesidad afirmadas en aquel momento” (STC 1/2012, de 13 de enero, FJ 6). Asimismo, el examen de la concurrencia del presupuesto habilitante del art. 86.1 CE en la adopción de un decreto-ley es del todo independiente del control de la conformidad material con la Constitución de las disposiciones incluidas en la norma de urgencia y, tanto más, en cuanto que se sitúa extramuros de nuestra jurisdicción, del control de su conformidad material con 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arreglo a la doctrina que se acaba de recordar debemos comprobar ahora si en el Real Decreto-ley 4/2006 objeto del presente recurso de inconstitucionalidad concurre el presupuesto habilitante de la “extraordinaria y urgente necesidad” exigido por el art. 86.1 CE. Siguiendo la doctrina expuesta debemos por tanto analizar dos elementos: en primer lugar, la presentación explícita y razonada de los motivos que han sido tenidos en cuenta por el Gobierno en su aprobación (SSTC 29/1982, de 31 de mayo, FJ 3; 111/1983, de 2 de diciembre, FJ 5; 182/1997, de 20 de octubre, FJ 3; 137/2003, de 3 de julio, FJ 4; y 1/2012, de 13 de enero, FJ 7); en segundo lugar, la existencia de una necesaria conexión entre la situación de urgencia definida y la medida concreta adoptada para subvenir a ella (SSTC 29/1982, de 31 de mayo, FJ 3; 182/1997, de 20 de octubre, FJ 3; 137/2003, de 3 de julio, FJ 4; y 1/2012, de 13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primer lugar, a analizar los motivos explicitados por el Gobierno para la aprobación del Real Decreto-ley 4/2006, debemos acudir a la exposición de motivos de la norma, al debate parlamentario de convalidación y, en su caso, al expediente de elaboración de la norma (por todas, STC 1/2012,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exposición de motivos del Real Decreto-ley se afirma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tendencias de concentración empresarial en los mercados energéticos mundiales y europeos han puesto de relieve determinadas insuficiencias en la legislación vigente. Insuficiencias que tienen al menos una doble faceta: por una parte, no se contemplan todos los intereses cuya protección por los poderes públicos parece conveniente; por otra, no somete a simétrica consideración las operaciones cualquiera que sea el agente promotor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conforme a la legislación vigente, no resulta posible examinar en todos los supuestos la adquisición del control de unas empresas por otras, en la medida que afecten a intereses generales de la política energética española y, en particular, a la seguridad pública. Además, mientras que en su actual redacción la función Decimocuarta de la Comisión Nacional de Energía, regulada en la Disposición Adicional Undécima.Tercero.1 de la Ley 34/1998, de 7 de octubre, del Sector de Hidrocarburos, condiciona a la autorización de la Comisión Nacional de Energía la toma de participación por sociedades con actividades reguladas en cualquier entidad que realice actividades de naturaleza mercantil, no establece la misma previsión cuando la sociedad objeto de la participación realiza actividades reguladas pero no la sociedad que pretende dicha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corrección de ambas insuficiencias, que requiere una disposición con rango de ley, adquiere carácter de extrema y urgente necesidad, por cuanto que es necesario establecer sin dilación las características de la nueva regulación, de manera que los agentes económicos dispongan de unas perspectivas claras del marco jurídico en el que ejercitar sus opciones empresariales o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literalidad de la exposición de motivos del Real Decreto-ley se desprende que la justificación de la aprobación del mismo en el marco del art. 86.1 se concreta en la necesidad de corregir dos concretas “insuficiencias” que el Gobierno aprecia en la legislación entonces vigente en relación con la regulación de la potestad de supervisión de las operaciones de concentración en el sector energético: por un lado, la insuficiente precisión legal de los intereses cuya protección por los poderes públicos parece conveniente en los supuestos de adquisición del control de unas empresas por otras; por otro, la falta de previsión legal de la autorización de la Comisión Nacional de Energía de la toma de participación en una sociedad que realice actividades reguladas por una sociedad que no las realice.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trámite de convalidación del Real Decreto-ley, en la defensa del texto ofrecida por el Ministro de Industria, Turismo y Comercio, en nombre del Gobierno, ante el Pleno del Congreso de los Diputados (Cortes Generales, “Diario de Sesiones del Congreso de los Diputados”, Pleno y Diputación Permanente, VIII Legislatura, Año 2006, núm. 163, sesión plenaria núm. 152 del 23 de marzo de 2006, págs. 8121 a 8123), se afirma, entre otras cosas,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española para las tomas de participación de empresas en el sector energético se ha venido manteniendo en el tiempo en unos mercados europeos y mundiales en los que las concentraciones empresariales tienen una tendencia creciente, concentraciones que han puesto de manifiesto las limitaciones de la actual legislación para la protección por los poderes públicos de los intereses cuya salvaguarda tiene encomendados. Por tanto, el Real Decreto-ley 4/2006 está originado por una clara insuficiencia de la legislación vigente que presenta al menos dos aspectos fundamentales. En primer lugar, con la actual legislación no resulta posible examinar en todas sus facetas los efectos derivados de la adquisición del control de unas empresas por otras en el sector energético; al menos no en todos los supuestos que afectan a los intereses generales de la política energética española y en particular a la seguridad pública. En segundo lugar, mientras que en su redacción actual la función decimocuarta de la Comisión Nacional de Energía condiciona a la autorización de la comisión la toma de participaciones por sociedades con actividades reguladas en cualquier entidad que realice actividades de naturaleza mercantil, no se establece la misma previsión cuando la sociedad objeto de la toma de participación realiza actividades reguladas pero no lo hace la sociedad que pretende dicha participación. Es decir, hasta este real decreto-ley el criterio que determinaba si una operación de toma de participación empresarial debe ser o no objeto de autorización por la Comisión Nacional de Energía se basaba en la naturaleza regulada de las actividades de la empresa que pretendía adquirir la participación y en el sector en el que esta opera, y no en las características de la sociedad objeto de la toma de participación. Esto ha puesto en evidencia una clara insuficiencia en la legislación, ya que una operación como por ejemplo una oferta pública de adquisición de acciones sobre una gran compañía energética solo debía ser analizada por la Comisión Nacional de Energía si era iniciada por otra compañía del sector energético español que realizase actividades reguladas, pero si tal operación de adquisición procediese de una empresa, por ejemplo, del sector textil o de otra con actividades en cualquier otro sector de otro país, no tendría que someterse a este procedimiento de autorización por la Comisión Nacional de Energía, cuyo objeto consiste en garantizar el adecuado funcionamiento del sistema energético regulado de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el Ministro de Industria, Turismo y Comercio añadió otras dos consideraciones: por un lado, que “la entrada en vigor del nuevo régimen legal debe ser inmediata, ya que es condición necesaria para que los agentes económicos dispongan de perspectivas claras sobre el marco en el que actuar y no soporten las distorsiones asociadas al plazo necesario para la aprobación en este caso de un proyecto de ley”; por otro, que “resultaba discriminatorio someter a autorización la adquisición de participaciones únicamente cuando era realizada por una empresa que, a su vez, realizase actividades reguladas. Por ello, se ha considerado coherente con el sistema vigente ampliar su ámbito subjetivo; al mismo tiempo, se ha considerado conveniente ampliar el ámbito de aplicación de la autorización a las empresas que se encuentran en determinadas relaciones de sujeción especial, por la particular naturaleza de ésta y por su trascendencia para el mantenimiento de los objetivos de política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completar el análisis de los motivos alegados por el Gobierno, procede traer a colación la memoria justificativa del proyecto de real decreto-ley por el que se modifican las funciones de la Comisión Nacional de Energía, en tanto que dicho dictamen constituye un trámite sustancial del procedimiento de elaboración de la norma impugnada. En dicha memoria justificativa se fundamentó la necesidad de la modificación legislativa mediante real decreto-ley en tres razones: “En primer lugar porque se pretende modificar una disposición con rango de ley. En segundo lugar, porque se requiere que las medidas propuestas sean adoptadas con carácter de extrema y urgente necesidad, habida cuenta de la conocida existencia de operaciones en curso y previsibles de profundo calado, con efectos que pueden resultar de difícil e imposible corrección. En tercer lugar, porque es necesario también establecer sin dilación las características de la nueva regulación, de manera que los agentes económicos dispongan de unas perspectivas claras del marco jurídico en el que ejercitar sus opciones empresariales o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expuestos los motivos aducidos por el Gobierno en el propio Real Decreto-ley, en su proceso de convalidación y en el procedimiento de elaboración de la norma, podemos entrar a analizar su pertinencia. En el presente recurso se suscitan dos objeciones desde la perspectiva del art. 86.1 CE. La primera plantea la necesidad y urgencia de la adopción del Real Decreto-ley impugnado. La segunda objeción rechaza la relación de adecuación entre la situación de extraordinaria y urgente necesidad alegada por el Gobierno y las medidas incluidas a tal efecto en el Real Decreto-ley, en cuanto que, para una mejor garantía de la seguridad pública, que es la finalidad principal aducida por el Gobierno, el nuevo régimen debería haber sido aplicable sin distinción alguna a todas las operaciones pendientes de ejecución y no solo a las no autorizadas.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respecta a la primera objeción, cabe recordar que, en diversos momentos, el Gobierno ha alegado expresamente tres circunstancias concretas para fundamentar el recurso al decreto-ley: la insuficiencia de la vigente regulación legal en materia de operaciones de concentración en el sector energético, la necesidad de proporcionar a los agentes económicos “unas perspectivas claras del marco jurídico en el que ejercitar sus opciones empresariales o financieras”, y “la conocida existencia de operaciones en curso y previsibles de profundo calado, con efectos que pueden resultar de difícil e imposible corrección”. Los recurrentes se han limitado a razonar explícitamente su rechazo a la pertinencia de dos de esas tres circunstancias. Pues bien, sólo parcialmente podemos compartir esos argumentos. Ciertamente la urgencia de una modificación legislativa no se puede fundamentar en la urgencia de que sus destinatarios conozcan tales reformas. En cambio, con arreglo a nuestra doctrina no podemos aceptar el argumento de que las operaciones de concentración en el sector energético no eran imprevisibles o se habían planteado en otras ocasiones en los años anteriores, pues “la valoración de la extraordinaria y urgente necesidad de una medida puede ser independiente de su imprevisibilidad e, incluso, de que tenga su origen en la previa inactividad del propio Gobierno” (STC 1/2012, de 13 de enero, FJ 6). En consecuencia, debemos considerar que la situación de extraordinaria y urgente necesidad que el Gobierno quería abordar mediante la aprobación del decreto-ley objeto del presente proceso constitucional está configurada por la concurrencia de una doble circunstancia: la apreciación, por un lado, de un déficit de regulación legal en materia de operaciones de concentración en el sector energético y la constatación, por otro, de la existencia de importantes operaciones de concentración en curso en dicho sector. En concreto el déficit o laguna normativa se concretaba según el Gobierno en la asimetría existente, desde la perspectiva de la necesidad de una autorización administrativa previa, entre dos tipos de operaciones de concentración en el sector energético. Mientras que la adquisición de participaciones realizada por sociedades que desarrollaran actividades que tuvieran la consideración de reguladas o actividades que estuvieran sujetas a una intervención administrativa que implicara una relación de sujeción especial estaban sujetas a autorización administrativa, no lo estaba en cambio la adquisición de participaciones en esas mismas sociedades por otros sujetos, esto es, por sociedades que no desarrollaran actividades reguladas o que no estuvieran sujetas a una intervención administrativa. A esa asimetría o disparidad de criterios legales se conecta la otra circunstancia alegada por el Gobierno de “la conocida existencia de operaciones en curso y previsibles de profundo calado, con efectos que pueden resultar de difícil e imposible corrección”, lo que implícitamente apela al carácter acuciante y urgente que, según el Gobierno, revestía la intervención legislativa en dicho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este Tribunal ha reconocido recientemente la relevancia, desde la perspectiva del art. 86.1 CE, de la ordenación de los procesos que se desarrollan en el sector energético (SSTC 170/2012, de 4 de octubre, FJ 6; y 233/2012, de 13 de diciembre, FJ 2). Así, en la STC 170/2012, FJ 6, consideramos, con relación a la concurrencia del presupuesto habilitante en la adopción de un real decreto-ley, que “la importancia del sector energético para el desarrollo de la actividad económica en general determina que su ordenación, introduciendo reformas en el mismo a fin de mejorar el funcionamiento de los distintos subsectores que lo integran, sea susceptible de constituir una necesidad cuya valoración entra dentro del ámbito de atribuciones que corresponde al Gobierno, al que corresponde apreciar cual es el momento o la coyuntura económica más apropiada para adoptar sus decisiones en este caso dirigidas a introducir un mayor grado de liberalización de las actividades en el sector petrolero, circunstancia que puede hacer necesaria la aprobación de disposiciones legislativas provisionales y de eficacia inmediata como las contenidas en un decreto-ley excluyendo que se trate de un uso abusivo o arbitrario de dicha facultad”. Si bien este pronunciamiento se realizó con relación a unas disposiciones cuya finalidad era la liberalización de las actividades en el subsector del petróleo, el mismo criterio debe valer con respecto a la introducción de disposiciones de signo contrario, como sucede en el presente caso, en el cual las medidas incluidas en el Real Decreto-ley 4/2006 se dirigen a extender la autorización administrativa a ciertas operaciones de concentración que previamente no la necesitaban así como a precisar las causas legales de denegación o de condicionamiento de dichas autorizaciones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conforme a nuestra doctrina, recapitulada en el fundamento jurídico 5 de esta Sentencia, debemos declarar que la definición por los órganos políticos de la situación de extraordinaria y urgente necesidad resulta explícita y razonada, por lo que, no constituyendo un supuesto de uso abusivo o arbitrario de la potestad normativa excepcional conferida al Gobierno, debemos concluir que concurre el presupuesto habilitante de la extraordinaria y urgente necesidad requerido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otra objeción planteada por los recurrentes se refiere en realidad al segundo elemento a analizar por este Tribunal en la tarea de control del presupuesto habilitante del art. 86.1 CE, esto es, la conexión entre la situación de urgencia definida y las medidas concretas adoptadas para afrontarla, que figuran en la disposición impugnada. Los recurrentes descartan la conexión de sentido entre la situación de urgencia y las medidas concretas adoptadas para afrontarla, arguyendo que, para una mejor garantía de la seguridad pública, el nuevo régimen debería haber sido aplicable sin distinción alguna a la totalidad de las operaciones pendientes de ejecución y no solo a las no autorizadas. Este argumento no puede acogerse. La discrepancia con respecto a las concretas medidas adoptadas por el Gobierno para afrontar la situación de urgencia por él definida no es motivo suficiente para fundamentar la inconstitucionalidad de la utilización del decreto-ley; como tampoco puede serlo la consideración de que existirían medidas tanto o más adecuadas o efectivas para la consecución de los propios objetivos gubernamentales. Por esta razón, tampoco tenemos que analizar si, como alega el Abogado del Estado, las medidas que, como contraste, nos proponen los recurrentes podrían plantear problemas desde la perspectiva del principio de irretroactividad. Desde la perspectiva del art. 86.1 CE nuestro control se debe ceñir a verificar si las concretas medidas incluidas en el decreto-ley adoptado presentan la inexcusable conexión de sentido con la situación de urgencia definida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ha afirmado un doble criterio o perspectiva para valorar la existencia de la conexión de sentido: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señalado, la situación de extraordinaria y urgente necesidad que habilitaba al Gobierno para aprobar el decreto-ley estaba configurada por la concurrencia de una doble circunstancia: la apreciación de un déficit de regulación legal en materia de operaciones de concentración en el sector energético y la constatación de la existencia de importantes operaciones de concentración en curso en dicho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contenido de las medidas previstas por el Decreto-ley, cabe recordar que se trata de modificaciones que daban nueva redacción a la disposición adicional undécima, 3.1.14 de la Ley 34/1998, de 7 de octubre, del sector de hidrocarburos. Tales modificaciones consistían, por una parte, en la sujeción a autorización administrativa de la adquisición de participaciones en un porcentaje superior a un diez por ciento del capital social o cualquier otro que conceda influencia significativa en una sociedad que, por sí o por medio de otras que pertenezcan a su grupo de sociedades, desarrolle alguna de las actividades que tengan la consideración de reguladas o actividades que estén sujetas a una intervención administrativa que implique una relación de sujeción especial por cualquier sujeto, y no solo —como hasta entonces— de las adquisiciones realizadas por sociedades que desarrollaran actividades que tuvieran la consideración de reguladas o actividades que estuvieran sujetas a una intervención administrativa que implicara una relación de sujeción especial; y, por otra parte, en la mayor precisión introducida en la regulación legal de las causas que facultaban al órgano competente para denegar o someter a condiciones las autorizaciones de esas adquisiciones, sin que sea necesario a los efectos del presente proceso constitucional descender al detalle de la regulación legal de esas concretas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estructura de las disposiciones incluidas en el Decreto-ley, las disposiciones que establecían la sujeción a autorización administrativa de las adquisiciones por cualquier sujeto (y no sólo, como hasta entonces, por sociedades que desarrollaran actividades reguladas) de participaciones en sociedades que realizaran actividades reguladas y la nueva regulación de las causas de denegación o de condicionamiento de las autorizaciones, estaban dotadas de eficacia inmediata y modificaban por tanto de manera instantánea la situación jurídica existente, por cuanto que no sólo entraban en vigor el mismo día de su publicación en el “Boletín Oficial del Estado” (disposición final segunda del Real Decreto-ley 4/2006) sino que se aplicaban incluso a las operaciones pendientes de ejecución (disposición transitoria única del Real Decreto-ley 4/2006).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los dos criterios señalados, el contenido y la estructura de las disposiciones incluidas en el decreto-ley controvertido, debemos rechazar en suma la segunda objeción alegada por los recurrentes desde la perspectiva del art. 86.1 CE. Las medidas incluidas en el Decreto-ley no carecen en efecto de conexión de sentido con la situación de extraordinaria y urgente necesidad definida por el Gobierno, pues, por un lado, eran idóneas para remediar las insuficiencias de la regulación legal en materia de operaciones de concentración en el sector energético apreciadas por el Gobierno y, por otro lado, tenían incidencia inmediata en ese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Hemos de concluir, por todo lo señalado, que, en el caso del Real Decreto-ley 4/2006 objeto del presente proceso constitucional, el Gobierno ha aportado justificación suficiente que permita apreciar la existencia de la situación habilitante requerida por el art. 86.1 CE, y que las medidas incluidas en dicho decreto-ley no carecen de conexión de sentido con respecto a la situación de urgencia definida por aquél.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La extinción del recurso por desaparición sobrevenida del objeto respecto del artículo único y la disposición transitoria única del Real Decreto-ley 4/2006, de 24 de febrero, por el que se modifican las funciones de la Comisión Nacional de Energía.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