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29 de enero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23 de septiembre de 2013 dictada por la Sección Séptima de la Sala Tercera de lo Contencioso-Administrativo del Tribunal Supremo en el recurso de casación núm. 2588-2012 interpuesto contra Sentencia de 22 de mayo de 2012 dictada por la Sala de lo Contencioso-Administrativo del Tribunal Superior de Justicia de Asturias en el recurso núm. 477-2010.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29 de enero de 2015 el Magistrado don Antonio Narváez Rodríguez comunicó a los efectos oportunos que se abstenía de intervenir en el antes indicado recurso de amparo, de conformidad con el art. 80 de la Ley Orgánica del Tribunal Constitucional, por haber intervenido en representación del Ministerio Fiscal en el recurso de casación núm. 2588-2012 del que trae causa el presente recurso de amparo núm. 6128-2013.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esta Sección Cuarta del Tribunal Constitucional, la Sección, en virtud de lo previsto en el art. 219. 13 y 16 de la Ley Orgánica del Poder Judicial, supletoria de la Ley Orgánica del Tribunal Constitucional (art. 80), estima justificada la causa de abstención formulada, puesto que el mencionado Magistrado intervino en representación del Ministerio Fiscal en el recurso de casación núm. 2588-2012 seguido en la Sección Séptima de la Sala Tercera de lo Contencioso-Administrativo del Tribunal Supremo que dictó la Sentencia de 23 de septiembre de 2013, resolución que ha sido impugnada en el presente recurso de amparo núm. 6128-2013.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Antonio Narváez Rodríguez en el recurso de amparo núm. 6128-2013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