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1114-2012, promovido por Josel, S.L., (sucesora por absorción de Donca, S.A.) representada por el Procurador de los Tribunales don Antonio Sorribes Calle y defendida por el Letrado don Miguel Andrés Riera, contra el auto de la Sala Tercera del Tribunal Supremo, de 22 de septiembre de 2011, por el que se inadmite el recurso de casación núm. 310-2011, deducido contra la sentencia de la Sala de lo Contencioso-administrativo de Audiencia Nacional, de 2 de diciembre de 2010, así como contra la providencia de la misma Sala, de 16 de enero de 2012, por la que se inadmite el incidente de nulidad deducido contra aquel auto. Ha intervenido el Abogado del Estado, así como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febrero de 2012, el Procurador don Antonio Sorribes Calle, formuló demanda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Contencioso-Administrativo de la Audiencia Nacional, dictó Sentencia de 2 de diciembre de 2010, por la que estimó parcialmente el recurso deducido por la demandante de amparo contra la resolución del Tribunal Económico-Administrativo Central de 14 de septiembre de 2007, en relación con acuerdos de liquidación y sanción dictados respecto del impuesto de sociedades, ejercicios 1999 y 2000, por las que se anulaba la sanción impuesta y se desestimaba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resolución prepararon recurso de casación tanto el Abogado del Estado como la demandante de amparo, que lo hizo mediante escrito de fecha 10 de enero de 2011. En él puso de manifiesto la intención de interponerlo, la legitimación de la parte recurrente, el cumplimiento del plazo para la presentación del escrito, el carácter recurrible de la resolución impugnada y la suficiencia de la cuantía para el acceso a la casación; a ello añadió la precisión de que el recurso iba a fundarse en los motivos previstos en los apartados c) y d) del art. 88.1 de la Ley reguladora de la jurisdicción contencioso-administrativa (LJCA). El recurso fue tenido por preparado por diligencia de ordenación de la Sala de lo Contencioso-Administrativo de la Audiencia Nacional de 12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Registro General del Tribunal Supremo el día 16 de febrero de 2011, la demandante de amparo se personó y formalizó el escrito de interposición del recurso de casación. Tras ser requerida la demandante de amparo para la justificación del pago de la correspondiente tasa por el ejercicio de la potestad jurisdiccional y ser cumplimentado el indicado requerimiento, la Sala Tercera del Tribunal Supremo dictó providencia de 22 de marzo de 2011 por la que tenía por interpuesto el recurso de casación presentado por la demandante de amparo, así como el presentado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9 de mayo de 2011, el órgano judicial acordó poner de manifiesto las actuaciones a las partes por término de diez días para que alegaran lo que estimaren procedente en relación con la posible concurrencia de la causa de inadmisión en los recursos de casación interpuestos, consistente en “defectuosa preparación de los recursos, pues no se ha hecho indicación en los respectivos escritos de preparación de las correspondientes infracciones normativas o jurisprudenciales que se desarrollarán en el escrito de interposición de cada recurrente [artículos 88.1, 89.1 y 93.2 a) de la Ley Jurisdiccional y ATS de 10 de febrero de 2011, recurso núm. 2927-2010]”. Tanto el Abogado del Estado como el demandante de amparo cumplieron el trámite conferido interesando la admisión del recurso de casación respectivamente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el Tribunal Supremo dictó el Auto de 22 de septiembre de 2011 frente al que se demanda amparo, por el que inadmitió el recurso de casación deducido por el demandante, así como el interpuesto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 remitió al ATS de 10 de febrero de 2011, del que transcribió varios de sus fundamentos, a la vista de los cuales concluyó, en lo que ahora interesa, que, no habiéndose citado en el escrito de preparación del recurso formalizado por la sociedad recurrente las infracciones normativas o jurisprudenciales que iban a desarrollarse en el escrito de interposición, pues se limitaba anunciar que el recurso se fundamentaría en los motivos previstos en los apartados c) y d) del art. 88.1 de la Ley jurisdiccional, procedía la inadmisión del recurso de casación deducido por la demandante de amparo. También se inadmitía, por igual motivo, el interpuesto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remitirse a las consideraciones jurídicas vertidas en los AATS, de 10 de octubre de 2010 y de 10 de febrero de 2011, el Tribunal Supremo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fase de preparación del recurso de casación no se configura en el sistema de la Ley Jurisdiccional como un mero formalismo carente de mayor trascendencia, sino más bien como un trámite que adquiere sustantividad propia, en cuanto ha sido establecido por el legislador con la evidente finalidad de permitir al mismo Tribunal que ha dictado la resolución judicial efectuar un primer juicio sobre la procedencia del recurso y constatar si se dan las condiciones previstas en la Ley de la Jurisdicción para darle trámite y remitir lo actuado ante el Tribunal Supremo; y con el propósito de proporcionar a la parte recurrida información acerca de los motivos en que se fundamentará el recurso de casación. Obvio es que esa finalidad sólo puede cumplirse si la Sala a quo y las partes disponen de toda la información necesaria para formar criterio sobre tal cuestión; de ahí que sea carga del interesado en recurrir en casación proporcionar ya en el escrito de preparación los datos indispensables para comprobar el cumplimiento de esos requisitos, sin que, por lo demás, esta carga procesal que sólo al recurrente afecta, pueda ni deba ser cumplida o completada por la Sala, de oficio y en perjuicio de la parte procesal enfrentada a quien pretende recurrir. Además, y respecto de los requisitos exigibles en el escrito de preparación, ha de reconocerse que no ha existido una jurisprudencia unánime en relación a la necesidad de anticipar en dicho escrito los concretos motivos que se harán valer en la interposición del recurso, ni en cuanto a las consecuencias de la omisión de ese extremo, o de la falta de correlación entre los motivos anunciados en la preparación y los posteriormente desarrollados en la interposición. Por ello, con la doctrina expuesta en los Autos de 10 de octubre de 2010 y de 10 de febrero de 2011 se ha clarificado la doctrina jurisprudencial en relación a tal cuestión, reconduciéndose con arreglo a las consideraciones que se expresan en los citados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 que pone de manifiesto cada uno de los escritos de preparación presentados es que su actuación en todos los casos se ha efectuado de la misma manera para cualquier recurso de casación, cuando en la fase de preparación debe anunciarse el concreto o concretos motivos en que se fundará ese recurso, y no cualquier otro, de entre los previstos en el art. 88.1 LJCA. Y eso sólo puede hacerse si junto al anuncio del cauce procesal que se va a seguir, anudado a ello, se hace indicación de las infracciones normativas o jurisprudenciales que se pretendan denunciar y desarrollar en el escrito de interposición del recurso de casación concreto de que se trate, aunque fuere de forma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que se declare la irretroactividad de la nueva doctrina de la Sala relativa a la defectuosa preparación, tampoco puede acogerse. A este respecto, ha de ponerse de manifiesto que es reiterada la doctrina constitucional que admite sin reservas el cambio de criterio jurisprudencial, siempre que éste no sea arbitrario y esté motivado, sin que quepa pretender de la jurisprudencia un carácter monolítico y estático, puesto que su valor reside precisamente en su dinámica adaptativa y motivada a las nuevas realidades en que se desenvuelven las relaciones jurídicas, teniendo en cuenta la libertad de apreciación de todo órgano jurisdiccional en el ejercicio de su función juzgadora (de conformidad con el artículo 117.3 de la Constitución Española) y la consecuencia de una diferente concepción jurídica igualmente razonable y fundada en Derecho de los supuestos sometidos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entendiendo (entre otras, STC 76/2005, de 4 de abril, recurso de amparo núm. 2182-2002) que los cambios jurisprudenciales han de ser conscientes y justificados, con vocación de generalidad suficiente como para impedir su calificación como irreflexivo, arbitrario, ocasional e inesperado, de modo que, cumpliéndose esos requisitos, no podría estimarse vulnerado el principio de igualdad en su vertiente de aplicación judicial de la Ley. Efectivamente, el Alto Tribunal considera que los cambios de criterio jurisprudenciales son legítimos cuando son razonados y razonables (STC 29/2005, de 14 de febrero, recurso de amparo núm. 6002-2002).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(por todas, STC 176/2000, de 26 de junio, recurso de amparo núm. 6604-1997). De este modo, los cambios de criterio jurisprudenciales no erosionan los principios constitucionales de igualdad ni de seguridad jurídica. En los mismos términos se ha pronunciado esta Sala Tercera del Tribunal Supremo en numerosas sentencias, por todas ellas STS de 5 de julio de 2002, recurso de casación núm.5552-1997 y STS de 22 de diciembre de 2003, recurso de casación núm. 5455-1998.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Recuérdese, asimismo, que el Tribunal Constitucional ha declarado en numerosos pronunciamientos que ‘el juzgador está sujeto a la ley, no a sus precedentes, por lo que no puede considerarse inconstitucional la evolución en la interpretación judicial de la legalidad, que constituye, junto con la modificación normativa, uno de los instrumentos para la adaptación del Derecho a la realidad cambiante’ (por todas, STC 242/1992, de 21 de diciembre, recurso de amparo núm. 2738 -1990).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en contra de lo alegado por la parte recurrente, esta Sala considera que no puede acudirse al principio de no retroactividad, por cuanto no produce su invocación en términos estrictos a dichos cambios jurisprudenciales, toda vez que el engarce constitucional con el art. 9.3 de nuestra Norma Fundamental sólo abarca a ‘disposiciones’, naturaleza jurídica que no puede predicarse de las resoluciones judiciales, razón por la cual el Tribunal Supremo puede aplicar la nueva doctrina jurisprudencial a todo supuesto o situación jurídica que tenga ante sí para resolver, tanto las surgidas en el pasado como las que son objeto actual del proceso, con independencia del momento temporal en que se interpuso el recurso. Es lo que el Tribunal Constitucional ha entendido como el ‘mínimo efecto retroactivo’. En caso contrario, quedaría petrificada la nueva interpretación jurisprudencial a aquellos escritos de interposición de recursos que fueran presentados debidamente ante los Tribunales de Justicia a partir del momento del ‘anuncio’ del cambio de criterio, ‘anuncio’ a que no están obligados los órganos jurisdiccionales, tal y como tiene asentada la doctrina constitucional referida. Asimismo, hay que tener en cuenta que una resolución judicial que incorpora un cambio de criterio jurisprudencial y cuya eficacia fuese meramente prospectiva sería un mero obiter dictum, convirtiendo al Tribunal en legislador, amén de que se frustraría la finalidad del proceso porque la sentencia no afectaría a las partes. El único límite temporal a que se limitan los cambios de criterio jurisprudenciales, de conformidad con la doctrina del Tribunal Constitucional, es a las situaciones jurídicas que gozan de la protección de la cosa juzgada, como no podía ser menos como garantía de salvaguardia de la tutela judicial efectiva proclamada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relación a la vulneración del principio de la tutela judicial efectiva consagrado en el art. 24 CE, ha de expresarse que las posibles restricciones a la recurribilidad de determinadas resoluciones no son incompatibles con el derecho a la tutela judicial efectiva del art. 24.1 de la Constitución , ni con el principio de seguridad jurídica siempre que se articulen por Ley siendo doctrina reiterada de esta Sala que no se quebranta dicho derecho porque un proceso contencioso-administrativo quede resuelto en única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sobre el acceso a los recursos, existe una consolidada doctrina del Tribunal Constitucional que, reiterada en su Sentencia 252/2004, de 20 de diciembre, puede resumirse en lo siguiente: ‘... como hemos sintetizado en la STC 71/2002, de 8 de abril, mientras que el derecho a una respuesta judicial sobre las pretensiones esgrimidas goza de naturaleza constitucional, en tanto que deriva directamente del art. 24.1 CE ,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(STC 37/1995 , FJ 5). 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58/1995, 138/1995 y 149/1995)’.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ha declarado también el Tribunal Constitucional en su Sentencia 230/2001, de 26 de noviembre, entendiéndose incorporado el sistema de recursos a la tutela judicial en la configuración que le otorga cada una de las Leyes reguladoras de los diversos órdenes jurisdiccionales, ‘estas leyes pueden establecer distintos requisitos procesales para la admisión de los recursos, cuya interpretación es competencia exclusiva de los Jueces y Tribunales ordinarios. Y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 del Tribunal Supremo —a quien está conferida la función de interpretar la ley ordinaria (también, evidentemente la procesal) con el valor complementario del ordenamiento que le atribuye el Código Civil (art. 1.6)—, y ha sido tomada en un recurso, como el de casación, que está sometido en su admisión a rigurosos requisitos, incluso de naturaleza formal’ (SSTC 119/1998, FJ 2, y 160/1996,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7 de noviembre de 2011, la demandante de amparo dedujo incidente de nulidad de actuaciones en el que, con una muy extensa argumentación, alegó vulneración del “derecho a la tutela judicial efectiva, reconocido en el art. 24.1 de la Constitución, en su variante de acceso al recuso legal”; y del “derecho a la igualdad en la aplicación judicial de la ley, reconocido en el art. 14 de la misma Constitución”. Con respecto a lo primero adujo que el cambio jurisprudencial relativo a los requisitos de forma de un escrito procesal como el de preparación del recuso, aplicado retroactivamente, vulnera el derecho a la tutela judicial efectiva en la vertiente de acceso al recurso y el principio de seguridad jurídica, así como que supone una aplicación arbitraria y desproporcionada de los requisitos procesales de admisión que genera indefensión a la parte. Por lo que se refiere a la aducida vulneración del derecho a la igualdad en la aplicación de la ley, se adujo que la inadmisión acordada suponía el apartamiento de una línea doctrina consolidada que no respondía a ningún cambio normativo ni a una motivación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16 de enero de 2012, frente a la que también se demanda amparo, se acordó la inadmisión a trámite del incidente de nulidad promovido por la demandante. Se razona que la demandante expresa su discrepancia con la inadmisión del recurso utilizando el incidente de nulidad a modo de recurso de súplica y que la invocación del principio constitucional alegado no puede servir de excusa para soslayar la aplicación de la ley; que el derecho de acceso al recurso es un derecho de configuración legal, razón por la cual la inadmisión del recurso en aplicación de sus requisitos interpretados de modo no irrazonable y motivadamente, no lesiona el indicado derecho; y, finalmente, que la aplicación de las reglas de admisión del recurso de casación no se hizo de manera rigorista, por lo que cabe descartar también la lesión del derecho a un proceso equitativo que garantiza el art. 6.1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presente recurso de amparo ha de tenerse igualmente presente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89.1 LJCA dispone que en el escrito de preparación del recurso de casación deberá manifestarse “la intención de interponer el recurso, con sucinta exposición de la concurrencia de los requisitos de forma exigidos”. El art. 89.2 LJCA dispone que “en el supuesto previsto en el artículo 86.4 [sentencias dictadas por las salas de lo contencioso-administrativo de los Tribunales Superiores de Justicia, contra las que solo cabe recurso si este puede fundarse en infracción de normas de Derecho estatal o comunitario europeo], habrá de justificase que la infracción de una norma estatal o comunitaria europea ha sido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Inicialmente el Tribunal Supremo circunscribió los requisitos de forma que deben expresarse en el escrito de preparación a la necesidad de hacer constar el carácter susceptible de recurso de la resolución impugnada, la legitimación de la parte recurrente, el cumplimiento del plazo legalmente fijado para presentar el escrito de preparación, y la intención de interponer el recurso de casación. En el caso de resoluciones procedentes de los Tribunales Superiores de Justicia, por disponerlo así el art. 89.2 en relación con el art. 86.4 LJCA, se entendía exigible también la anticipación o anuncio en el escrito de preparación de los motivos que iban a desarrollarse en la interposición y la expresión de las concretas infracciones denunciadas de la ley y de la jurisprudencia aplicables, con la finalidad de determinar si se trataba de normas estatales o de Derecho europeo relevantes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algunas resoluciones del Tribunal Supremo (AATS de 3 de diciembre de 2009, recurso de casación 577-2009; 4 de marzo de 2010, recurso de casación 4416-2009, y 6 de mayo de 2010, recurso de casación 6228-2009) comenzaron a entender exigible con carácter general en los escritos de preparación del recurso de casación la expresión de los motivos de casación que iban a desarrollarse en el escrito de interposición. Tal exigencia no era general, pues, como declaran los AATS de 14 de octubre de 2010, recursos de casación 951-2010 y 573-2010; 18 de noviembre de 2010, recurso de casación 3461-2010; 25 de noviembre de 2010, recursos de casación 1886-2010 y 2738-2010; y 2 de diciembre de 2010, recursos de casación 3852-2010 y 5030-2010, “debe reconocerse que en ocasiones tal exigencia se ha predicado tan solo respeto de los recursos de casación preparados frente a Sentencias de las Salas de lo Contencioso-Administrativo de los Tribunales Superiores de Justicia, excluyéndose expresamente esta exigencia respecto de las sentencias de lo Contencioso-Administrativo de la Audiencia Nacional (en este sentido, Autos de esta Sala y Sección de 23 abril 2009, recurso de casación 3146-2008, 9 julio de 2009, recurso de casación 5647-2008 y 6 abril 2010, recurso de casación 1368-2009,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AATS 951/2010 y 573/2010, de 14 de octubre de 2010, y 3461/2010, de 18 de noviembre de 2010, al objeto de “clarificar” la jurisprudencia, la Sección Primera de la Sala de lo Contencioso-Administrativo del Tribunal Supremo precisó que la exigencia de “anticipar” en el escrito de preparación los motivos de casación era aplicable también a las Sentencias y Autos dictados por la Audiencia Nacional, como extensión de las exigencias de forma impuestas para el escrito de preparación del recurso de casación por el art. 89.1 LJCA. Según estos autos, en el escrito de preparación “es carga del recurrente en casación indicar ya en la fase de preparación el concreto o los concretos motivos en que se fundará el recurso”, con referencia a los “cuatro motivos que ahí se perfilan [se refiere al art. 88.1 LJCA]” (ATS 3461/2010, de 18 de noviembre de 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ATS de 10 de febrero de 2011 (recurso de casación 2927-2010), al que se ha hecho ya referencia, dictado también por la Sección Primera de la Sala de lo Contencioso-Administrativo, a la que corresponde por reparto decidir sobre la admisibilidad de los recursos de casación, dictado también con la finalidad de “clarificar” la doctrina jurisprudencial, especificó que el escrito de preparación, con carácter general, debe contener no solo la invocación de los motivos, sino también la indicación de “los concretos preceptos o jurisprudencia que se reputan infringidos o del contenido de las infracciones normativas o jurisprudenciales que se pretenda denunciar y desarrollar en el escrito de interposición del recurso de casación, aunque fuera de forma sucinta”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expone las razones por las cuales se introdujo esta especificación de la siguiente forma: “Si así no se exigiera, es decir, si se estimara innecesario anticipar el motivo o motivos al que se acogerá el éxito de interposición en los términos expresados, el trámite de preparación quedaría privado de sentido y finalidad característicos, desde el momento en que el tribunal a quo quedaría desprovisto de elementos de juicio para verificar que el recurso de casación cumple el más primario requisito de procedibilidad, cuando este se funda formalmente en uno de sus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 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 1 que se utilice”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reprochan al auto de inadmisión frente al que se demanda amparo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vulneró el derecho de la demandante a la tutela judicial efectiva (art. 24.1 CE), en su vertiente de acceso a los recursos, porque la exigencia de anticipar en el escrito de preparación del recurso de casación los concretos preceptos o la jurisprudencia que se reputan infringidos, tradicionalmente aplicable a recursos de casación frente a sentencias de los Tribunales Superiores de Justicia, se ha aplicado con carácter retroactivo a los recursos de casación deducidos frente a sentencias de la Audiencia Nacional, en un momento en que aquella exigencia no era conocida ni predecible a tenor de la jurisprudencia precedente. Añade que la argumentación del Tribunal Supremo en relación con la cosa juzgada como único límite al cambio jurisprudencial es aplicable al derecho sustantivo pero no a los requisitos procesales de forma, de modo que si no es posible anticipar el cambio de criterio al respecto por un cauce adecuado que facilite su conocimiento a los operadores jurídicos, ese cambio no es posible. Además, un cambio de criterio jurisprudencial como el controvertido va en contra del principio de seguridad jurídica y resulta desproporcionado exigirlo en relación con escritos de preparación que ya se habían presentado cuando el cambio de doctrina se introduce.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demandante aduce que, más allá de su inadecuada aplicación retroactiva, es la propia doctrina sentada por el Tribunal Supremo y aplicada en el caso concretamente enjuiciado ahora, la que resulta lesiva del derecho a la tutela judicial efectiva —art. 24.1 CE— en la vertiente de acceso al recurso. Sostiene a tal efecto que la nueva exigencia introducida carece de sentido y funcionalidad cuando la sentencia recurrida en casación procede de la Audiencia Nacional, pues, a diferencia de lo que sucede con las dictadas por los Tribunales Superiores de Justicia, la admisibilidad del recurso no se condiciona a que la norma aducida como vulnerada sea estatal o comunitaria. De ahí que el requisito sobre el que se controvierte en este recurso de amparo sólo tenga sentido y esté funcionalmente ordenado a la preservación de la naturaleza del recurso de casación cuando existen restricciones en cuanto al tipo de norma en que puede fundarse el recurso, esto es, cuando procede de un Tribunal Superior de Justicia por exigirlo así los arts. 86.4 y 89.2 LJCA. En definitiva, para la demandante de amparo se trata de un requisito exigido sin el soporte funcional de la ley jurisdiccional que sólo responde a la voluntad de “limitar, por una casusa no establecida en la Ley, el número de recursos de casación pendientes, lo cual es, siempre en términos de la misma doctrina constitucional, arbitrario…”, citando a tal efecto el contenido de ciertos artículos de doctrina jurídica que pretendidamente avalan tal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una tercera línea argumental, la demandante sostiene que la nueva exigencia jurisprudencial de anticipar en el escrito de preparación las infracciones normativas o jurisprudenciales que habrán de desarrollarse en el escrito de interposición, le genera indefensión proscrita por el art. 24.1 CE. Sostiene que la ordenación de la casación contenciosa en dos fases de preparación e interposición, con un plazo diferente cada una, queda refundida en una sola fase merced a la nueva doctrina, pues en el escrito de preparación se ha de incluir ya lo que ha de ser el contenido de escrito de interposición, privando así materialmente a la parte de un trámite. Añade que la refundición en uno sólo de los dos trámites aludidos se ha producido en la reforma de la casación civil (Ley 37/2011, de 10 de octubre, de medidas de agilización procesal), “[p]ero lo que legítimamente puede hacer la ley, no puede resultar de un cambio jurisprudencial, violentando el tenor de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demandante considera vulnerado su derecho a la igualdad en la aplicación de la ley porque la inadmisión acordada supuso el apartamiento de una línea doctrina consolidada que no respondía a ningún cambio normativo ni a una motivación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2013, la Sala Primera acordó admitir a trámite la demanda de amparo. Asimismo, en aplicación de lo dispuesto en el artículo 51 de la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 310-2010 y al recurso núm. 454-2007, respectivamente, debiendo previamente emplazarse, para que pudieran comparecer en el recurso de amparo en el término de diez días, a quienes hubieran sido parte en el procedimiento, excepto a la parte recurrente en amparo igualmente se acordó notificarle la resolución con efectos de emplazamiento al Abogado del Estado, en representación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certificaciones de las actuaciones judiciales y personado el Abogado del Estado mediante escrito presentado el 10 de mayo de 2013, mediante diligencia de ordenación de 14 de junio de 2013,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escrito el 16 de julio de 2013 por el que daba por reproducidas íntegramente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alegaciones mediante escrito presentado el 16 de julio de 2013, en el que solicita que se “dicte sentencia con arreglo a Derecho.” No aprecia el Abogado del Estado que se haya vulnerado el derecho a la igualdad en la aplicación judicial de la ley (art. 14 CE) porque el ATS de 10 de noviembre de 2011, por el que se inadmite el recurso de casación interpuesto por la demandante de amparo, no constituye una resolución aislada sino que mantiene la línea iniciada por el ATS de 10 de febrero de 2011, siendo irrelevante que existan resoluciones excepcionales que se aparten de aquélla. Sin embargo, tras recordar la doctrina constitucional sobre la inadmisión del recurso de casación contencioso-administrativo por defectos insubsanables del escrito de preparación, analiza el art. 89.1 LJCA y, en especial, el contenido de la expresión “los requisitos de forma exigidos” y concluye que la aplicación retrospectiva o retroactiva de la máxima jurisprudencial contenida en el ATS de 10 de febrero de 2011, inexistente cuando se presentó el escrito de preparación del recurso de casación, para inadmitir el recurso precisamente porque no se preparó conforme a ellas, supone imponer retroactivamente un novedoso régimen procesal desfavorable a la realización de un acto procesal totalmente concluido que vulnera el art. 24.1 CE en su vertiente de acceso a los recursos.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23 de julio de 2013. En él recoge la doctrina del Tribunal Constitucional sobre el acceso a los recursos y la evolución de la jurisprudencia del Tribunal Supremo sobre los requisitos que debe reunir el escrito de preparación del recurso de casación contencioso-administrativo. A la vista de las alegaciones formuladas en la demanda de amparo, interesa que se desestime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Ministerio Fiscal se desarrolla, en síntesis,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respecto a la alegada vulneración del derecho a la igualdad en la aplicación de la ley, el Fiscal aduce que tal queja carece de todo desarrollo argumental, lo cual impide a este Tribunal el conocimiento de tal queja de acuerdo con la constante doctrina jurisprudencial, según la cual es carga del demandante no sólo abrir la vía de amparo sino también la de proporcionar la necesaria argumentación fáctica y jurídica que razonablemente es de esperar (STC 107/2009, de 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derecho a la tutela judicial efectiva que se dice vulnerado, el Fiscal realiza un repaso de la evolución de la doctrina del Tribunal Supremo en relación con los requisitos que deber reunir el escrito de preparación del recurso. Fija como uno de los hitos de esta evolución el ATS 144/2010, de 14 de octubre, a cuyos requerimientos se ajustó el demandante de amparo al preparar su recurso de casación el 10 de enero de 2011. Ahora bien, el posterior ATC 2371/2011, de 10 de febrero, cambió la doctrina hasta entonces existente en el sentido de exigir, también para los recursos contra sentencias de la Audiencia Nacional, que en el escrito de preparación se especifique el concreto o concretos motivos en que se fundará el recurso, con indicación de los concretos preceptos o jurisprudencia que se reputan infringidos o del contenido de las infracciones normativas o jurisprudenciales que se pretendan denunciar y desarrollar en el escrito de interposición del recurso de casación, aunque sea en forma sucinta. Tal doctrina fue aplicada en el caso ahora controvertido y es la que ha de enjuiciarse de acuerdo con el canon de acceso al recurso, no regido por el principio pro actione sino por el de la racionalidad y la interdicción de la arbitrariedad y 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el Fiscal que las razones ofrecidas en el Auto impugnado, descartado el error patente que nadie esgrime, configuran una resolución motivada que no puede tildarse de arbitraria ni de irrazonable sino que, antes al contrario, el Fiscal considera que la exigencia de especificar las concretas infracciones legales o jurisprudenciales fluye con naturalidad de los motivos de casación esgrimidos en el escrito de preparación del recurso, que se refieren precisamente a las infracciones de las normas reguladoras de la Sentencia o de las que rigen los actos y garantías procesales y a la infracción de las normas del ordenamiento jurídico o de la jurisprudencia que fueran aplicables para resolver las cuestiones objeto de debate. No resulta irrazonable, se dice, que tales normas o jurisprudencia se concreten al preparar el recurso. Por lo demás el Fiscal considera que el reproche que se efectúa a la aplicación de una nueva doctrina a actos procesales realizados con anterioridad al establecimiento de aquella se sustenta en un juicio de igualdad respecto del cual no es posible resolver, precisamente por la deficiencia en su fundamentación en la demanda a la que ya se hizo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febrero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22 de septiembre de 2011, que acordó no admitir a trámite el recurso de casación interpuesto contra la Sentencia de la Sala de lo Contencioso-Administrativo de la Audiencia Nacional de 2 de diciembre de 2010, recaída en el procedimiento ordinario núm. 457-2007. También impugna la providencia mediante la que se inadmitió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(i) la vulneración de su derecho a la tutela judicial efectiva (art. 24.1 CE), en su vertiente de acceso a los recursos, porque el Auto impugnado se funda en un requisito de admisibilidad no exigido por la ley; (ii) la vulneración de su derecho a la tutela judicial efectiva (art. 24.1 CE), en su vertiente de acceso a los recursos, en relación con el principio de seguridad jurídica (art. 9.3 CE),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(iii) la vulneración de su derecho a la igualdad en la aplicación judicial de la ley (art. 14 CE), pues entiende que se ha aplicado una interpretación jurisprudencial contradictoria con varias resoluciones dictadas por el órgano judicial que, siendo posteriores a la resolución que consumó el cambio interpretativo, se apartan del mismo de forma completamente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excepción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persona del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Josel, S.L., (sucesora por absorción de Donca,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 el Magistrado don Luis Ignacio Ortega Álvarez, a la Sentencia dictada en el recurso de amparo núm. 1114-2012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la fundamentación jurídica y el fallo de esta. Considero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cuestiones planteadas en el presente recurso de amparo fueron abordadas en la STC 7/2015, de 22 de enero, en la que formulé un Voto particular discrepante con su razonamiento. La opinión mayoritaria en la que se sustenta la presente Sentencia contiene nuevos razonamientos, por lo que estimo necesario añadir algunas puntualizaciones a mi anterior Voto particular, en cuyo contenido me ratifico.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demandante de amparo invoca, en primer lugar, la vulneración del derecho a la tutela judicial efectiva (art. 24.1 CE). Se funda en que la exigencia de citar los preceptos o la jurisprudencia que se reputan infringidos en el escrito de preparación del recurso de casación contencioso-administrativo contra resoluciones de la Audiencia Nacional carece de cobertura en la Ley reguladora de la jurisdicción contencioso-administrativa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mediante una profusa referencia a la jurisprudencia del Tribunal Europeo de Derechos Humanos, sostiene que no cabe, según esta, apreciar una lesión del derecho a un proceso equitativo consagrado en el art. 6.1 del Convenio europeo para la protección de los derechos humanos y de las libertades fundamentales (CEDH), dada la facultad del legislador de establecer requisitos de admisibilidad más rigurosos para el recurso de casación y la facultad del Tribunal Supremo, en su labor de intérprete de las normas procesales, para determinar y concretar el ámbito de esos requisitos.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nadie en este procedimiento de amparo —ninguna de las partes y ninguno de los Magistrados de este Tribunal— han puesto en duda ni la una ni la otra. La cuestión controvertida en este recurso de amparo no es la existencia de esas facultades, sino el hecho de que —como expuse en mi Voto particular a la STC 7/2015—, la decisión de inadmisión impugnada hizo una interpretación que, al incorporar de manera imprevisible un nuevo requisito en contra de lo dispuesto expresamente en la ley, incurrió en un exceso irrazonable.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Nadie discute que, para garantizar que la parte recurrida cuente desde un principio con la información necesaria para adoptar la posición procesal que estime pertinente, puede ser razonable exigir que en el escrito de preparación de un recurso de casación contencioso-administrativo contra una sentencia de la Audiencia Nacional se citen las normas y jurisprudencia que se estimen infringidas. Pero esta no es la cuestión controvertida. El problema radica en que la exigencia de este requisito no puede hacerse en contra de lo dispuesto por la ley de modo expreso. En efecto, dicho requisito no aparece en la ley como un requisito del escrito de preparación que se presenta ante el tribunal que dictó la Sentencia (art. 89.1 LJCA), sino como un requisito del escrito de interposición, para cuya presentación ante el tribunal de casación se concede un plazo más amplio (art. 92.1 LJCA: “…en el que se expresará razonadamente el motivo o motivos en que se ampare, citando las normas o la jurisprudencia que se consideren infringidas”). Exigirlo en el escrito de preparación está en directa contradicción con la ley, en tanto no sea modificada. El tribunal y las partes deben atenerse a la ley procesal en virtud del principio de legalidad y, desde una perspectiva constitucional, entra en el terreno de lo irrazonable separarse abiertamente de ella para exigir un requisito que puede determinar de forma imprevisible la inadmisibilidad del recurso, como ocurrió en el caso enjuiciado, pues el Tribunal Supremo no lo exigía con anterioridad.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circunstancias del recurso, la exigencia de un requisito de esta naturaleza debe considerarse, a mi juicio, entre las restricciones para el acceso a los recursos que el Tribunal Europeo de Derechos Humanos considera relevantes por afectar al derecho de acceso en su misma sustancia (STEDH de 4 de noviembre de 2014, caso Sociedad Anónima del Ucieza c. España, §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demandante de amparo invoca, en segundo lugar, la vulneración del derecho a la tutela judicial efectiva (art. 24.1 CE). Se funda en que la exigencia de anticipar en el escrito de preparación del recurso de casación los concretos preceptos o la jurisprudencia que se reputan infringidos no era predecible en el momento de la preparación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que sucedió en la STC 7/2015, la opinión mayoritaria en que se sustenta la Sentencia da respuesta a la cuestión sobre el alcance de la aplicación retroactiva de la jurisprudencia. La respuesta aportada no me resulta convincente y, por tanto, me ratifico en la posición expresada en mi Voto particular a la STC 7/2015. A mi juicio, la cita de jurisprudencia del Tribunal Europeo de Derechos Humanos no es adecuada a la cuestión controvertida. Nadie en este procedimiento ha puesto en duda la posibilidad de que la interpretación normativa evolucione o se modifique en virtud de la labor jurisprudencial. El problema controvertido es el de los límites a la aplicación retroactiva de las modificaciones jurisprudenciales.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expresé en aquel Voto particular, un cambio jurisprudencial, con independencia de que se desarrolle en el marco del sistema de civil law dentro del cual puede entenderse encuadrado el sistema español, no puede prevalecer cuando implica el sacrificio de derechos o valores que la Constitución protege frente a la aplicación retroactiva de las normas, en aras de los principios de protección de situaciones consolidadas, de garantía de la seguridad jurídica, de proscripción de la arbitrariedad y de efectividad del principio de legalidad. Siguiendo el argumento apoyado por la posición mayoritaria en que se funda la Sentencia, si el cambio de jurisprudencia solo hace decir a la norma lo que esta desde un principio decía, debe concluirse que lo que hubiera estado vedado al legislador, por respeto al principio de seguridad jurídica, también debe estar vedado a la interpretación de la ley por el camino de la evolución de la jurisprudencia con idénticos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defendí en aquel Voto particular, la eficacia temporal del cambio de criterio jurisprudencial debe ser templada cuando su aplicación se traduce, en la práctica, en la exigencia de un requisito procesal de carácter formal del que depende la acción o el recurso que no se entendía exigible en el momento de la presentación del escrito y no podía ser conocido por la parte, pues así lo impone el parámetro constitucional de la racionalidad de la decisión judicial y los principios de seguridad jurídica, confianza legítima, interdicción de la arbitrariedad y principio tempus regit actum, los cuales son incompatibles con una resolución de inadmisión dictada de manera imprevisible en tales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expresé en aquel Voto particular, de acuerdo con la doctrina sobre el efecto útil de los recursos y remedios procesales, no comparto la idea de la posición mayoritaria de que en este caso, a diferencia del resuelto en la STC 7/2015, debe denegarse el amparo por falta de diligencia de la parte consistente en no haber intentado la subsanación. En efecto, tal intento estaba condenado al fracaso a tenor de la jurisprudencia del Tribunal Supremo, la cual, de manera unánime, de acuerdo con el parecer de este tribunal, ha denegado constantemente la posibilidad de que, salvo error material, las deficiencias de los escritos de preparación y de interposición del recurso de casación, salvo los casos de error material, puedan ser subsanadas una vez agotado el plazo para su 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creo que la resolución impugnada en amparo vulneró la exigencia de previsibilidad de la jurisprudencia en los casos en que este requisito está en directa relación con la exigencia de esta circunstancia respecto de la ley, en los términos en que este principio ha sido declarado por el Tribunal Europeo de Derechos Humanos (SSTEDH de 7 de febrero de 2012, caso Alimuçaj c. Albania, §150 y §156; y de 21 de octubre de 2013, caso Del Río Prada c. España, § 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último, la parte demandante también invoca la vulneración del art. 14 CE, fundándose en que ha existido un cambio de criterio del Tribunal Supremo que no cumple con las exigencias que impone el principio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radica en que la argumentación de la mayoría en que se sustenta la Sentencia ha omitido la referencia a la jurisprudencia de este tribunal acerca de que es posible ponderar la eventual vulneración del art. 24.1 CE por falta de razonabilidad de la resolución aunque no concurran los requisitos para apreciar una vulneración del principio de igualdad ante la ley (por separarse del precedente sin suficiente motivación) cuando este es alegado. Entiendo, ratificándome en mi Voto particular a la STC 7/2015, que concurre una vulneración del art. 24.1 CE por la que el Ministerio Fiscal solicitó la estimación del recurso de amparo fundándose en la existencia de diversas resoluciones contemporáneas y posteriores de la misma Sala en las que, en idénticas condiciones, se admitió 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