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1716-2012, promovido por “Casas Canarias de Campo S.L.” representada por la Procuradora de los Tribunales doña María Rosalva Yanes Pérez y asistida por el Letrado don Javier Ortega Trujillo, contra el Auto de 14 de julio de 2011, de la Sección Primera de la Sala de lo Contencioso-Administrativo del Tribunal Supremo, que inadmite el recurso de casación intentado frente a Sentencia de 25 de octubre de 2010 de la Audiencia Nacional; asimismo se impugna el Auto de 19 de enero de 2012, por la que se inadmite el incidente de nulidad planteado frente al Auto antes citado. Ha intervenido el Ministerio Fiscal; ha comparecido el Abogado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marzo de 2012, la demandante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empresa recurrente, tras obtener la Sentencia desestimatoria de la Audiencia Nacional, de 25 de octubre de 2010, preparó recurso de casación frente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de 12 de noviembre de 2010, se preparó el recurso de casación ante la Sala de lo Contencioso-Administrativo de la Audiencia Nacional contra la citada Sentencia. El Tribunal Supremo, mediante Auto de 14 de julio de 2011, inadmitió el recurso de casación. Interpuesto incidente de nulidad frente al citado Auto, fue inadmitido por Auto de 19 de enero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alega que se ha vulnerado el derecho fundamental a la tutela judicial efectiva del art. 24.1 CE, en su vertiente de derecho de acceso a la justicia, causante de indefensión, al vulnerar lo dispuesto en el art. 94.1 de la Ley reguladora de la jurisdicción contencioso-administrativa, toda vez que se funda la inadmisión del recurso de casación en que el escrito de preparación del recurso no se hace expresión de las concretas infracciones normativas o jurisprudenciales aplicables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parte recurrente que en el presente caso concurren los criterios que la jurisprudencia del Tribunal Constitucional y del Tribunal Europeo de Derechos Humanos  requieren para admitir, en recurso de amparo, un control de constitucionalidad de una resolución judicial inadmisoria de la casación en atención a una eventual vulneración del derecho fundamental a la tutela judicial efectiva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que el alcance y/o el rigor exigido en los requisitos formales, como requisito procesal necesario para que el Tribunal Supremo proceda a la admisión del recurso de casación, en el presente caso concreto, resulta desproporcionado. Pone de manifiesto la parte recurrente la reiterada jurisprudencia del Tribunal Supremo en relación con los requisitos del escrito de preparación del recurso de casación y la sorpresiva modificación de tal línea jurisprudencia y su aplicación de manera retroactiva y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obligación de citar en el escrito de preparación del recurso de casación las concretas infracciones normativas o jurisprudenciales que se reputan infringidas se configura como un nuevo criterio que carece, a su juicio, de un claro sustento normativo. Adicionalmente, la nueva doctrina se aplica con carácter retroactivo y sin posibilidad de que el nuevo criterio se haya dado a conocer suficientemente, puesto que se ha ido perfilando mediante autos y no sentencias. Además, considera que ha de tenerse en cuenta que el cambio de criterio no ha existido uniformidad entre las distintas secciones a la hora de exigir el referido nuevo requisito formal, puesto que existen Secciones de la Sala Tercera del Tribunal Supremo que no han opuesto objeción a aquellos escritos de preparación que se formularon con los requisitos tradicionalmente aceptados.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Auto de inadmisión del incidente de nulidad de actuaciones manifiesta que “en consecuencia, esta Sala habrá de aplicar el nuevo criterio jurisprudencia a todo supuesto o situación jurídica que tenga ante sí para resolver, con independencia del momento temporal en que se interpuso el recurso. Es lo que el Tribunal Constitucional ha entendido como el mínimo efecto retroactivo. En caso contrario, quedaría petrificada la nueva interpretación jurisprudencia a aquellos escritos de interposición de recursos que fueran presentados debidamente ante los Tribunales de Justicia a partir del momento del anuncio de cambio de criterio, anuncio al que no están obligados los órganos jurisdiccionales, tal y como tiene asentada la doctrina constitucional referida”. Resalta que, al haberse producido el cambio de criterio a través de autos —que carecen de la publicidad de la que gozan las sentencias— se impide a los interesados el tener conocimiento del nuevo criterio con la antelación necesaria para impugnar las sentencias sin incurrir en error procedimental alguno. A este respecto, destaca que a la fecha en que es emitida la sentencia de la Audiencia Nacional contra la que se preparó el recurso de casación (25 de octubre de 2010), ni siquiera se puede decir que existiera un nuevo criterio jurisprudencial porque a esa fecha existía un único Auto, el de 14 de octubre de 2010, de imposible conocimiento por la proximidad de las fechas, donde ya se dejaba entrever el nuevo criterio desarrollado en otros autos posteriores. Y además, defiende que hubiera sido necesario que existieran un mínimo de dos autos en el mismo sentido para que se pueda hablar de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considera que la resolución impugnada en amparo vulnera su tutela judicial efectiva, en la vertiente del derecho de acceso a los recursos legalmente previstos,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Auto de 8 de mayo de 2013 se tuvo por abstenido al Magistrado don Juan José Gonzáles Rivas. La Sala Primera del Tribunal Constitucional acordó por providencia de 3 de junio de 2013, la admisión a trámite del recurso de amparo y, de conformidad con el art. 51 de la Ley Orgánica del Tribunal Constitucional (LOTC), requerir atentamente a la Sala de lo Contencioso-Administrativo del Tribunal Supremo para que remitiera testimonio del recurso de casación núm. 6862-2010; asimismo, se acordó requerir a la Sección Séptima de la Sala de lo Contencioso-Administrativo de la Audiencia Nacional para que remitiera testimonio del procedimiento núm. 270-2009 y para que emplazara a quienes fueron parte en dicho procedimiento, con excepción de la parte recurrente en amparo, ya personada.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diligencia de ordenación de 9 de septiembre de 2013, se tuvieron por recibidas las actuaciones judiciales requeridas y se acordó un plazo común de veinte días para que las partes pudieran alegar lo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demandante presentó alegaciones el 10 de octubre de 2013, remitiéndose a los argumentos esgrimidos en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sus alegaciones el 19 de septiembre de 2013, solicitando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a la luz de la doctrina constitucional, el Auto impugnado viola el derecho de acceso a los recursos garantizado por el art. 24.1 CE. Recuerda que la STC 230/2001, señaló que el carácter extraordinario de la casación, de manera que la “subsanabilidad queda sometida, no sólo a los requisitos meramente extrínsecos -tiempo y forma- y a los presupuestos comunes exigibles para el ordinario de apelación, sino a otros intrínsecos, sustantivos, relacionados con el contenido y viabilidad de la pretensión, cuyo régimen es más severo por su propia naturaleza” y exige por ello “una especial diligencia y pericia técnica por parte de la asistencia letrada de los recurrentes que decida utilizar esta vía, que debe conocer necesariamente las exigencias procesales establecidas en las leyes para este tipo de recurso, así como la interpretación que de ella (en tanto que legalidad ordinaria) hace el Tribunal Supremo”. En lo que hace al derecho al recurso legal, por lo tanto, “la libertad judicial de interpretación de la legalidad ordinaria no tiene más limitaciones, a la luz del art. 24.1 CE, en su dimensión del derecho de acceso a los recursos, que las derivadas del canon del error patente, la arbitrariedad o la irrazonabilidad lógica”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analizar los preceptos de la Ley de la jurisdicción contencioso-administrativa relativos a los requisitos del escrito de preparación del recurso de casación, considera que la exigencia jurisprudencial contenida en el Auto del Tribunal Supremo de 10 de febrero de 2011, de anticipar resumidamente los motivos casacionales que se desarrollarán en el escrito de interposición, indicando ya en la preparación las normas y/o jurisprudencia infringidas también cuando se recurren Sentencias de la Audiencia Nacional, no puede calificarse ni de arbitraria ni de irrazonable. Pero destaca que el auténtico problema constitucional que la demanda suscita, y en el que la parte actora lleva la razón, radica en la aplicación retrospectiva de las nuevas máximas jurisprudenciales plasmadas en el citado Auto. La razonable expectativa o confianza legítima sobre la admisión de un recurso de casación preparado de acuerdo con los requisitos de forma exigidos por la jurisprudencia en el momento de presentar el escrito de preparación, se ve sorpresivamente frustrada por la aplicación retrospectiva de las nuevas máximas jurisprudenciales sin dar oportunidad procesal ninguna de ajustar el escrito ya presentado a las nuevas exigencias. No se trata de la violación del principio de seguridad jurídica (art. 9.3 CE), que no resulta protegido por el recurso de amparo, sino de una aplicación irrazonable, por contraria a la confianza legítima, de las nuevas máximas jurisprudenciales determinantes de la admisión o inadmisión del recurso de casación, que por ello se traducen en una violación del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por tanto, la cuestión radica en la irrazonabilidad de exigir, para la realización de un acto procesal agotado, el cumplimiento de unos requisitos de forma que razonablemente no se conocían en el momento en que se efectuó dicho acto procesal; requisitos que, por ello, la parte no tenía ninguna posibilidad de conocer ni de cumplir. La razonabilidad se extiende no sólo a la interpretación que se hace de la norma, sino a la forma en que esa interpretación se aplica a los supuestos de hecho sujetos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afirma que “la doctrina constitucional que la Abogacía del Estado aspira a ver plasmada en la sentencia que se dicte en el presente recurso de amparo se sintetiza en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irrazonablemente contrariando las exigencias mínimas de la confianza legítima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el 17 de octubre de 2013, solicitando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Ministerio Fiscal analizando la doctrina del Tribunal Supremo sobre los requisitos que debe cumplir el escrito de preparación del recurso de casación. Dadas las fechas del Auto impugnado y el Auto de 10 de febrero de 2011 a través del cual el Tribunal Supremo matizó su doctrina sobre la preparación del recurso de casación, señala que el problema no consiste en determinar si el cambio de criterio jurisprudencia operado por el Auto de 10 de febrero de 2011, ha resultado vulnerador del derecho a la tutela judicial efectiva (art. 24.1 CE) de la parte demandante de amparo, sino si el concreto Auto de inadmisión aquí impugnado o, más específicamente, su concreta motivación, ha producido a dicha parte esa lesión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sobre el derecho de acceso a los recursos, en cuanto manifestación del derecho a la tutela judicial efectiva, art. 24.1 CE, considera que tal derecho no ha sido vulnerado en el caso de la demandante de amparo. En efecto: i) el canon del error patente ha de quedar descartado de antemano, pues no se está discutiendo sobre una cuestión fáctica; y ii) del mismo modo ha de descartarse que la resolución judicial principalmente impugnada —el Auto de inadmisión del recurso de casación— incurra en arbitrariedad ni que sea irrazonable, pues es evidente que la decisión de la Sección Primera de la Sala de lo Contencioso-Administrativo del Tribunal Supremo no es “una simple expresión de la voluntad”, sin motivación o fundamento alguno (STC 164/2002, de 17 de septiembre, FJ 4), ni presenta “quiebras lógicas de tal magnitud que las conclusiones alcanzadas no puedan considerarse basadas en ninguna de las razones aducidas" (SSTC 15112001, de 2 de julio, FJ 5; 164/2002, de 17 de septiembre, FJ 4), ni expresa un razonamiento jurídico que objetivamente no pueda resultar comprensible a "cualquier observador” (STC 222/2003, de 15 de diciembre, FJ 5). Y es que, afirma el Ministerio Fiscal, por discutible que pueda parecer la argumentación que ha conducido a la inadmisión del recurso de casación entablado por la recurrente, el hecho cierto es que el Auto dictado por la Sección Primera de la Sala de lo Contencioso-Administrativo del Tribunal Supremo por el que se inadmitió el recurso de casación entablado contra la Sentencia dictada por la Audiencia Nacional, constituye una resolución debidamente motivada y que esa motivación no está incursa ni en error patente, ni en irrazonabilidad, ni en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febrero de 2015 se señaló para la deliberación y votación de la presente Sentencia el 2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demandante de amparo impugna el Auto de la Sección Primera de la Sala de lo Contencioso-Administrativo del Tribunal Supremo de 14 de julio de 2011, que acordó no admitir a trámite el recurso de casación interpuesto contra la Sentencia de la Sala de lo Contencioso-Administrativo de la Audiencia Nacional de 25 de octubre de 2010, recaída en el procedimiento ordinario núm. 270-2009. También impugna la resolución mediante la que se inadmitió a trámite el incidente de nulidad de actuaciones promovido contra el Auto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según se expresa con más detalle en los antecedentes de hecho de esta resolución, imputa a las resoluciones recurridas: (i) la vulneración de su derecho a la tutela judicial efectiva (art. 24.1 CE), en su vertiente de acceso a los recursos, porque el Auto impugnado se funda en un requisito de admisibilidad no exigido por la ley; (ii) la vulneración de su derecho a la tutela judicial efectiva (art. 24.1 CE), en su vertiente de acceso a los recursos, en relación con el principio de seguridad jurídica (art. 9.3 CE), porque la exigencia de anticipar en el escrito de preparación del recurso de casación los concretos preceptos o la jurisprudencia que se reputan infringidos se ha aplicado con carácter retroactivo, en un momento en que aquella exigencia no era conocida ni predecible a tenor de la jurisprudencia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problemas planteados en la demanda de amparo han sido ya abordados por este Tribunal en la STC 7/2015, de 22 de enero, en la que hemos tenido la oportunidad de examinar otro supuesto de inadmisión de un recurso de casación por omitirse en el escrito de preparación la cita de las normas y jurisprudencia que el recurrente reputase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en la referida Sentencia, debe descartarse, en primer lugar, que se haya vulnerado el derecho a la tutela judicial efectiva (art. 24.1 CE) por carecer la decisión judicial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el control constitucional que este Tribunal debe realizar de las resoluciones judiciales dictadas sobre los presupuestos o requisitos de admisión de los recursos tiene carácter externo, siendo, si cabe,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de 7 de febrero,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Tribunal Europeo de Derecho Humanos ha señalado que la manera en la que se aplica el art. 6.1 del Convenio a este recurso extraordinario puede depender de particularidades derivadas de la apreciación de conjunto del proceso tramitado y del papel que desempeñe el Tribunal de casación, pudiendo las condiciones de admisión de un recurso de casación ser más rigurosas que las propias de un recurso que haya de resolverse en grado de apelación [Sentencias del Tribunal Europeo de Derechos Humanos (SSTEDH) de 19 diciembre 1997, caso Brualla Gómez de la Torre c. España; y de 25 enero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Sentencias del Tribunal de Estrasburgo recaídas en los casos Sociedad General de Aguas de Barcelona c. España, de 25 mayo 2000; Llopis Ruiz c. España, de 7 noviembre 2003; e Ipamark c. España, de 17 febrero 2004, que presentan en común juzgar resoluciones en las que nuestro Tribunal Supremo inadmitió recursos de casación por considerar que los recurrentes no habían justificado en sus respectivos escritos procesales que la infracción de normas estatales o comunitarias había sido relevante y determinante del fallo de la Sentencia recurrida. El Tribunal Europeo concluyó con la desestimación de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siquiera sucinta,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el Auto que es objeto de impugnación en el presente recurso, ha afrontado la interpretación del art. 89.1 LJCA (precepto que exige que en el escrito de preparación del recurso de casación se exprese “la intención de interponer el recurso, con sucinta exposición de la concurrencia de los requisitos de forma exigidos”), alcanzando la conclusión de que uno de esos requisitos ha de ser la cita, siquiera sucinta, de las normas y jurisprudencia que se estimen infringidas, en atención a que la fase de preparación del recurso de casación tiene sustantividad propia, sin que pueda quedar reducida a un trámite carente de trascendencia. Desde esa óptica, en el Auto impugnado se razona que la exigencia de la cita de las normas y jurisprudencia que el recurrente repute infringidas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Supremo ha tenido en cuenta la finalidad particular del trámite de preparación en el marco general del recurso de casación y ha orientado la nueva exigencia a la mejor consecución de ese fin. Por ello, puede decirse que el Auto impugnado no sólo constituye un ejercicio legítimo de las facultades interpretativas que el art. 123 CE reserva al Tribunal Supremo sino que contiene, asimismo, una ponderación suficiente de los fines propios de la norma y de las consecuencias que su aplicación genera en la esfera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rechazarse, asimismo, que la exigencia del mencionado requisito viole el derecho a la tutela judicial efectiva (art. 24.1 CE), en su vertiente de acceso a los recursos, por haberse exigido al escrito de preparación del recurso de casación un contenido distinto del que el Tribunal Supremo venía contemplando en la fecha en que fue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recordando que repetidamente este Tribunal ha declarado que la selección de normas aplicables y su interpretación corresponde, en principio, a los Jueces y Tribunales ordinarios en el ejercicio de la función jurisdiccional que con carácter exclusivo les atribuye el art. 117.3 CE. El control de este Tribunal sólo abarcará el examen de si se ha realizado una selección o interpretación arbitraria, manifiestamente irrazonable o fruto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ha señalado que las exigencias de seguridad jurídica y de protección de la confianza legítima de los litigantes no generan un derecho adquirido a una determinada jurisprudencia, por más que hubiera sido constante (STEDH de 18 de diciembre de 2008, caso Unédic contra Francia, § 74), pues la evolución de la jurisprudencia no es en sí contraria a la correcta administración de justicia, ya que lo contrario impediría cualquier cambio o mejora en la interpretación de las leyes (STEDH de 14 de enero de 2010, caso Atanasovski contra la ex República Yugoslava de Macedonia,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debemos añadir que en el sistema de civil law en que se desenvuelve la labor jurisprudencial encomendada al Tribunal Supremo español, la jurisprudencia no es, propiamente, fuente del Derecho —las Sentencias no crean la norma— por lo que no son miméticamente trasladables las reglas que se proyectan sobre el régimen de aplicación de las leyes. A diferencia del sistema del common law, en el que el precedente actúa como una norma y el overruling, o cambio de precedente, innova el ordenamiento jurídico, con lo que es posible limitar la retroactividad de la decisión judicial, en el Derecho continental los tribunales no están vinculados por la regla del prospective overruling, rigiendo, por el contrario, el retrospective overruling (sin perjuicio de su excepcionamiento por disposición legal que establezca el efecto exclusivamente prospectivo de la Sentencia, como el art. 100.7 LJCA en el recurso de casación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tuvimos ocasión de señalarlo ya en nuestra STC 95/1993, de 22 de marzo, en la que subrayamos que la Sentencia que introduce un cambio jurisprudencia “hace decir a la norma lo que la norma desde un principio decía, sin que pueda entenderse que la jurisprudencia contradictoria anterior haya alterado esa norma, o pueda imponerse como Derecho consuetudinario frente a lo que la norma correctamente entendida dice”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concurren las excepcionales circunstancias apreciadas en el caso resuelto en la STC 7/2015, de 22 de enero, en el que la parte, con notoria diligencia, procedió a complementar el escrito de preparación inicialmente presentado para ajustarlo al nuevo criterio jurisprudencial tan pronto como tuvo conocimiento de ello, conducta procesal que el Tribunal Supremo no ponderó, lesionando así el derecho fundamental reconocido en el art. 24.1 CE. En este caso, sin embargo, la parte no procedió del modo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consideración a lo argumentado en los anteriores fundamentos jurídicos,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Casas Canarias de Campo,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Luis Ignacio Ortega Álvarez y don Juan Antonio Xiol Ríos a la Sentencia dictada en el recurso de amparo núm. 1716-2012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Sala en la que se sustenta la Sentencia, manifestamos nuestra discrepancia con la fundamentación jurídica y el fallo de esta. Consideramos que hubiera debido ser estimatoria por vulneración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coincidentes con las que ya fueron expuestas en los Votos particulares formulados a la SSTC 7/2015, de 22 de enero; y 16/2015, de 16 de febrero, a los que para evitar reiteraciones innecesarias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marzo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