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34</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2 de marzo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Pérez de los Cobos Orihuel, Presidente, don Luis Ignacio Ortega Álvarez, doña Encarnación Roca Trías, don Andrés Ollero Tassara, don Santiago Martínez-Vares García y don Juan Antonio Xiol Ríos,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1716-2012, promovido por “Casas Canarias de Campo S.L.” representada por la Procuradora de los Tribunales doña María Rosalva Yanes Pérez y asistida por el Letrado don Javier Ortega Trujillo, contra el Auto de 14 de julio de 2011, de la Sección Primera de la Sala de lo Contencioso-Administrativo del Tribunal Supremo, que inadmite el recurso de casación intentado frente a Sentencia de 25 de octubre de 2010 de la Audiencia Nacional; asimismo se impugna el Auto de 19 de enero de 2012, por la que se inadmite el incidente de nulidad planteado frente al Auto antes citado. Ha intervenido el Ministerio Fiscal; ha comparecido el Abogado del Estado. Ha sido Ponente el Magistrado don Luis Ignacio Ortega Álvarez,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23 de marzo de 2012, la demandante interpuso recurso de amparo contra las resoluciones citadas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empresa recurrente, tras obtener la Sentencia desestimatoria de la Audiencia Nacional, de 25 de octubre de 2010, preparó recurso de casación frente a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escrito de 12 de noviembre de 2010, se preparó el recurso de casación ante la Sala de lo Contencioso-Administrativo de la Audiencia Nacional contra la citada Sentencia. El Tribunal Supremo, mediante Auto de 14 de julio de 2011, inadmitió el recurso de casación. Interpuesto incidente de nulidad frente al citado Auto, fue inadmitido por Auto de 19 de enero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parte recurrente alega que se ha vulnerado el derecho fundamental a la tutela judicial efectiva del art. 24.1 CE, en su vertiente de derecho de acceso a la justicia, causante de indefensión, al vulnerar lo dispuesto en el art. 94.1 de la Ley reguladora de la jurisdicción contencioso-administrativa, toda vez que se funda la inadmisión del recurso de casación en que el escrito de preparación del recurso no se hace expresión de las concretas infracciones normativas o jurisprudenciales aplicables al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la parte recurrente que en el presente caso concurren los criterios que la jurisprudencia del Tribunal Constitucional y del Tribunal Europeo de Derechos Humanos  requieren para admitir, en recurso de amparo, un control de constitucionalidad de una resolución judicial inadmisoria de la casación en atención a una eventual vulneración del derecho fundamental a la tutela judicial efectiva (artículo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que el alcance y/o el rigor exigido en los requisitos formales, como requisito procesal necesario para que el Tribunal Supremo proceda a la admisión del recurso de casación, en el presente caso concreto, resulta desproporcionado. Pone de manifiesto la parte recurrente la reiterada jurisprudencia del Tribunal Supremo en relación con los requisitos del escrito de preparación del recurso de casación y la sorpresiva modificación de tal línea jurisprudencia y su aplicación de manera retroactiva y desproporcionada.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obligación de citar en el escrito de preparación del recurso de casación las concretas infracciones normativas o jurisprudenciales que se reputan infringidas se configura como un nuevo criterio que carece, a su juicio, de un claro sustento normativo. Adicionalmente, la nueva doctrina se aplica con carácter retroactivo y sin posibilidad de que el nuevo criterio se haya dado a conocer suficientemente, puesto que se ha ido perfilando mediante autos y no sentencias. Además, considera que ha de tenerse en cuenta que el cambio de criterio no ha existido uniformidad entre las distintas secciones a la hora de exigir el referido nuevo requisito formal, puesto que existen Secciones de la Sala Tercera del Tribunal Supremo que no han opuesto objeción a aquellos escritos de preparación que se formularon con los requisitos tradicionalmente aceptados.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el Auto de inadmisión del incidente de nulidad de actuaciones manifiesta que “en consecuencia, esta Sala habrá de aplicar el nuevo criterio jurisprudencia a todo supuesto o situación jurídica que tenga ante sí para resolver, con independencia del momento temporal en que se interpuso el recurso. Es lo que el Tribunal Constitucional ha entendido como el mínimo efecto retroactivo. En caso contrario, quedaría petrificada la nueva interpretación jurisprudencia a aquellos escritos de interposición de recursos que fueran presentados debidamente ante los Tribunales de Justicia a partir del momento del anuncio de cambio de criterio, anuncio al que no están obligados los órganos jurisdiccionales, tal y como tiene asentada la doctrina constitucional referida”. Resalta que, al haberse producido el cambio de criterio a través de autos —que carecen de la publicidad de la que gozan las sentencias— se impide a los interesados el tener conocimiento del nuevo criterio con la antelación necesaria para impugnar las sentencias sin incurrir en error procedimental alguno. A este respecto, destaca que a la fecha en que es emitida la sentencia de la Audiencia Nacional contra la que se preparó el recurso de casación (25 de octubre de 2010), ni siquiera se puede decir que existiera un nuevo criterio jurisprudencial porque a esa fecha existía un único Auto, el de 14 de octubre de 2010, de imposible conocimiento por la proximidad de las fechas, donde ya se dejaba entrever el nuevo criterio desarrollado en otros autos posteriores. Y además, defiende que hubiera sido necesario que existieran un mínimo de dos autos en el mismo sentido para que se pueda hablar de jurisprudencia.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considera que la resolución impugnada en amparo vulnera su tutela judicial efectiva, en la vertiente del derecho de acceso a los recursos legalmente previstos,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Auto de 8 de mayo de 2013 se tuvo por abstenido al Magistrado don Juan José Gonzáles Rivas. La Sala Primera del Tribunal Constitucional acordó por providencia de 3 de junio de 2013, la admisión a trámite del recurso de amparo y, de conformidad con el art. 51 de la Ley Orgánica del Tribunal Constitucional (LOTC), requerir atentamente a la Sala de lo Contencioso-Administrativo del Tribunal Supremo para que remitiera testimonio del recurso de casación núm. 6862-2010; asimismo, se acordó requerir a la Sección Séptima de la Sala de lo Contencioso-Administrativo de la Audiencia Nacional para que remitiera testimonio del procedimiento núm. 270-2009 y para que emplazara a quienes fueron parte en dicho procedimiento, con excepción de la parte recurrente en amparo, ya personada.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diligencia de ordenación de 9 de septiembre de 2013, se tuvieron por recibidas las actuaciones judiciales requeridas y se acordó un plazo común de veinte días para que las partes pudieran alegar lo que a su derecho conviniera.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parte demandante presentó alegaciones el 10 de octubre de 2013, remitiéndose a los argumentos esgrimidos en su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presentó sus alegaciones el 19 de septiembre de 2013, solicitando la estimación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que a la luz de la doctrina constitucional, el Auto impugnado viola el derecho de acceso a los recursos garantizado por el art. 24.1 CE. Recuerda que la STC 230/2001, señaló que el carácter extraordinario de la casación, de manera que la “subsanabilidad queda sometida, no sólo a los requisitos meramente extrínsecos -tiempo y forma- y a los presupuestos comunes exigibles para el ordinario de apelación, sino a otros intrínsecos, sustantivos, relacionados con el contenido y viabilidad de la pretensión, cuyo régimen es más severo por su propia naturaleza” y exige por ello “una especial diligencia y pericia técnica por parte de la asistencia letrada de los recurrentes que decida utilizar esta vía, que debe conocer necesariamente las exigencias procesales establecidas en las leyes para este tipo de recurso, así como la interpretación que de ella (en tanto que legalidad ordinaria) hace el Tribunal Supremo”. En lo que hace al derecho al recurso legal, por lo tanto, “la libertad judicial de interpretación de la legalidad ordinaria no tiene más limitaciones, a la luz del art. 24.1 CE, en su dimensión del derecho de acceso a los recursos, que las derivadas del canon del error patente, la arbitrariedad o la irrazonabilidad lógica”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analizar los preceptos de la Ley de la jurisdicción contencioso-administrativa relativos a los requisitos del escrito de preparación del recurso de casación, considera que la exigencia jurisprudencial contenida en el Auto del Tribunal Supremo de 10 de febrero de 2011, de anticipar resumidamente los motivos casacionales que se desarrollarán en el escrito de interposición, indicando ya en la preparación las normas y/o jurisprudencia infringidas también cuando se recurren Sentencias de la Audiencia Nacional, no puede calificarse ni de arbitraria ni de irrazonable. Pero destaca que el auténtico problema constitucional que la demanda suscita, y en el que la parte actora lleva la razón, radica en la aplicación retrospectiva de las nuevas máximas jurisprudenciales plasmadas en el citado Auto. La razonable expectativa o confianza legítima sobre la admisión de un recurso de casación preparado de acuerdo con los requisitos de forma exigidos por la jurisprudencia en el momento de presentar el escrito de preparación, se ve sorpresivamente frustrada por la aplicación retrospectiva de las nuevas máximas jurisprudenciales sin dar oportunidad procesal ninguna de ajustar el escrito ya presentado a las nuevas exigencias. No se trata de la violación del principio de seguridad jurídica (art. 9.3 CE), que no resulta protegido por el recurso de amparo, sino de una aplicación irrazonable, por contraria a la confianza legítima, de las nuevas máximas jurisprudenciales determinantes de la admisión o inadmisión del recurso de casación, que por ello se traducen en una violación del derecho de acceso al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por tanto, la cuestión radica en la irrazonabilidad de exigir, para la realización de un acto procesal agotado, el cumplimiento de unos requisitos de forma que razonablemente no se conocían en el momento en que se efectuó dicho acto procesal; requisitos que, por ello, la parte no tenía ninguna posibilidad de conocer ni de cumplir. La razonabilidad se extiende no sólo a la interpretación que se hace de la norma, sino a la forma en que esa interpretación se aplica a los supuestos de hecho sujetos a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afirma que “la doctrina constitucional que la Abogacía del Estado aspira a ver plasmada en la sentencia que se dicte en el presente recurso de amparo se sintetiza en que el derecho fundamental de acceso al recurso garantiza a los justiciables que las nuevas máximas jurisprudenciales que imponen más severos requisitos de forma al escrito de preparación de un recurso de casación —cuyo incumplimiento puede determinar la inadmisión del recurso— no se aplicarán irrazonablemente contrariando las exigencias mínimas de la confianza legítima de los justiciables”.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formuló sus alegaciones el 17 de octubre de 2013, solicitando la desestimación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el Ministerio Fiscal analizando la doctrina del Tribunal Supremo sobre los requisitos que debe cumplir el escrito de preparación del recurso de casación. Dadas las fechas del Auto impugnado y el Auto de 10 de febrero de 2011 a través del cual el Tribunal Supremo matizó su doctrina sobre la preparación del recurso de casación, señala que el problema no consiste en determinar si el cambio de criterio jurisprudencia operado por el Auto de 10 de febrero de 2011, ha resultado vulnerador del derecho a la tutela judicial efectiva (art. 24.1 CE) de la parte demandante de amparo, sino si el concreto Auto de inadmisión aquí impugnado o, más específicamente, su concreta motivación, ha producido a dicha parte esa lesión de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recordar la doctrina sobre el derecho de acceso a los recursos, en cuanto manifestación del derecho a la tutela judicial efectiva, art. 24.1 CE, considera que tal derecho no ha sido vulnerado en el caso de la demandante de amparo. En efecto: i) el canon del error patente ha de quedar descartado de antemano, pues no se está discutiendo sobre una cuestión fáctica; y ii) del mismo modo ha de descartarse que la resolución judicial principalmente impugnada —el Auto de inadmisión del recurso de casación— incurra en arbitrariedad ni que sea irrazonable, pues es evidente que la decisión de la Sección Primera de la Sala de lo Contencioso-Administrativo del Tribunal Supremo no es “una simple expresión de la voluntad”, sin motivación o fundamento alguno (STC 164/2002, de 17 de septiembre, FJ 4), ni presenta “quiebras lógicas de tal magnitud que las conclusiones alcanzadas no puedan considerarse basadas en ninguna de las razones aducidas" (SSTC 15112001, de 2 de julio, FJ 5; 164/2002, de 17 de septiembre, FJ 4), ni expresa un razonamiento jurídico que objetivamente no pueda resultar comprensible a "cualquier observador” (STC 222/2003, de 15 de diciembre, FJ 5). Y es que, afirma el Ministerio Fiscal, por discutible que pueda parecer la argumentación que ha conducido a la inadmisión del recurso de casación entablado por la recurrente, el hecho cierto es que el Auto dictado por la Sección Primera de la Sala de lo Contencioso-Administrativo del Tribunal Supremo por el que se inadmitió el recurso de casación entablado contra la Sentencia dictada por la Audiencia Nacional, constituye una resolución debidamente motivada y que esa motivación no está incursa ni en error patente, ni en irrazonabilidad, ni en arbitrariedad.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26 de febrero de 2015 se señaló para la deliberación y votación de la presente Sentencia el 2 de marzo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parte demandante de amparo impugna el Auto de la Sección Primera de la Sala de lo Contencioso-Administrativo del Tribunal Supremo de 14 de julio de 2011, que acordó no admitir a trámite el recurso de casación interpuesto contra la Sentencia de la Sala de lo Contencioso-Administrativo de la Audiencia Nacional de 25 de octubre de 2010, recaída en el procedimiento ordinario núm. 270-2009. También impugna la resolución mediante la que se inadmitió a trámite el incidente de nulidad de actuaciones promovido contra el Auto 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según se expresa con más detalle en los antecedentes de hecho de esta resolución, imputa a las resoluciones recurridas: (i) la vulneración de su derecho a la tutela judicial efectiva (art. 24.1 CE), en su vertiente de acceso a los recursos, porque el Auto impugnado se funda en un requisito de admisibilidad no exigido por la ley; (ii) la vulneración de su derecho a la tutela judicial efectiva (art. 24.1 CE), en su vertiente de acceso a los recursos, en relación con el principio de seguridad jurídica (art. 9.3 CE), porque la exigencia de anticipar en el escrito de preparación del recurso de casación los concretos preceptos o la jurisprudencia que se reputan infringidos se ha aplicado con carácter retroactivo, en un momento en que aquella exigencia no era conocida ni predecible a tenor de la jurisprudencia precedente.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problemas planteados en la demanda de amparo han sido ya abordados por este Tribunal en la STC 7/2015, de 22 de enero, en la que hemos tenido la oportunidad de examinar otro supuesto de inadmisión de un recurso de casación por omitirse en el escrito de preparación la cita de las normas y jurisprudencia que el recurrente reputase infringidas.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doctrina establecida en la referida Sentencia, debe descartarse, en primer lugar, que se haya vulnerado el derecho a la tutela judicial efectiva (art. 24.1 CE) por carecer la decisión judicial de la necesaria cobertura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general, este Tribunal ha declarado que “corresponde al Tribunal Supremo la última palabra sobre la admisibilidad de los recursos de casación ante él interpuestos, salvo lo dispuesto en materia de garantías constitucionales (art. 123 CE)” (STC 37/1995, de 7 de febrero, FJ 6), por lo que el control constitucional que este Tribunal debe realizar de las resoluciones judiciales dictadas sobre los presupuestos o requisitos de admisión de los recursos tiene carácter externo, siendo, si cabe, más limitado en lo referido al recurso de casación, pues (i) el Tribunal Supremo tiene encomendada la función de interpretar la ley con el valor complementario que atribuye a su jurisprudencia el Código civil y (ii) el recurso de casación tiene, a su vez, naturaleza extraordinaria, de donde se sigue que su régimen procesal es más estricto (SSTC 37/1995, de 7 de febrero, FJ 5; 248/2005, de 10 de octubre, FJ 2; 100/2009, de 27 de abril, FJ 4, y 35/2011, de 28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hemos de recordar que el Tribunal Europeo de Derecho Humanos ha señalado que la manera en la que se aplica el art. 6.1 del Convenio a este recurso extraordinario puede depender de particularidades derivadas de la apreciación de conjunto del proceso tramitado y del papel que desempeñe el Tribunal de casación, pudiendo las condiciones de admisión de un recurso de casación ser más rigurosas que las propias de un recurso que haya de resolverse en grado de apelación [Sentencias del Tribunal Europeo de Derechos Humanos (SSTEDH) de 19 diciembre 1997, caso Brualla Gómez de la Torre c. España; y de 25 enero 2005, caso Puchol Oliver c.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relevantes son las Sentencias del Tribunal de Estrasburgo recaídas en los casos Sociedad General de Aguas de Barcelona c. España, de 25 mayo 2000; Llopis Ruiz c. España, de 7 noviembre 2003; e Ipamark c. España, de 17 febrero 2004, que presentan en común juzgar resoluciones en las que nuestro Tribunal Supremo inadmitió recursos de casación por considerar que los recurrentes no habían justificado en sus respectivos escritos procesales que la infracción de normas estatales o comunitarias había sido relevante y determinante del fallo de la Sentencia recurrida. El Tribunal Europeo concluyó con la desestimación de las respectivas demandas, en la medida en que la interpretación que deba darse a los preceptos de la Ley reguladora de la jurisdicción contencioso-administrativa (LJCA) y a las condiciones de su aplicación era una cuestión que dependía de los Jueces ordinarios, sin que en estos casos su interpretación pudiera tacharse de arbitraria o irrazonable o de que dificultase la equidad del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enmarcada la cuestión, la exigencia de que el escrito de preparación del recurso de casación contenga la cita, siquiera sucinta, de las normas y jurisprudencia que se estimen infringidas, entra dentro de las facultades jurisprudenciales que corresponden al Tribunal Supremo en la interpretación de los requisitos de acceso a la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el Tribunal Supremo, en el Auto que es objeto de impugnación en el presente recurso, ha afrontado la interpretación del art. 89.1 LJCA (precepto que exige que en el escrito de preparación del recurso de casación se exprese “la intención de interponer el recurso, con sucinta exposición de la concurrencia de los requisitos de forma exigidos”), alcanzando la conclusión de que uno de esos requisitos ha de ser la cita, siquiera sucinta, de las normas y jurisprudencia que se estimen infringidas, en atención a que la fase de preparación del recurso de casación tiene sustantividad propia, sin que pueda quedar reducida a un trámite carente de trascendencia. Desde esa óptica, en el Auto impugnado se razona que la exigencia de la cita de las normas y jurisprudencia que el recurrente repute infringidas persigue garantizar que la parte recurrida cuente desde un principio con la información necesaria para adoptar la posición procesal que estime pertinente.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el Tribunal Supremo ha tenido en cuenta la finalidad particular del trámite de preparación en el marco general del recurso de casación y ha orientado la nueva exigencia a la mejor consecución de ese fin. Por ello, puede decirse que el Auto impugnado no sólo constituye un ejercicio legítimo de las facultades interpretativas que el art. 123 CE reserva al Tribunal Supremo sino que contiene, asimismo, una ponderación suficiente de los fines propios de la norma y de las consecuencias que su aplicación genera en la esfera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Debe rechazarse, asimismo, que la exigencia del mencionado requisito viole el derecho a la tutela judicial efectiva (art. 24.1 CE), en su vertiente de acceso a los recursos, por haberse exigido al escrito de preparación del recurso de casación un contenido distinto del que el Tribunal Supremo venía contemplando en la fecha en que fue presentado.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comenzar recordando que repetidamente este Tribunal ha declarado que la selección de normas aplicables y su interpretación corresponde, en principio, a los Jueces y Tribunales ordinarios en el ejercicio de la función jurisdiccional que con carácter exclusivo les atribuye el art. 117.3 CE. El control de este Tribunal sólo abarcará el examen de si se ha realizado una selección o interpretación arbitraria, manifiestamente irrazonable o fruto de un error patente.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Tribunal Europeo de Derechos Humanos ha señalado que las exigencias de seguridad jurídica y de protección de la confianza legítima de los litigantes no generan un derecho adquirido a una determinada jurisprudencia, por más que hubiera sido constante (STEDH de 18 de diciembre de 2008, caso Unédic contra Francia, § 74), pues la evolución de la jurisprudencia no es en sí contraria a la correcta administración de justicia, ya que lo contrario impediría cualquier cambio o mejora en la interpretación de las leyes (STEDH de 14 de enero de 2010, caso Atanasovski contra la ex República Yugoslava de Macedonia, § 38).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anterior debemos añadir que en el sistema de civil law en que se desenvuelve la labor jurisprudencial encomendada al Tribunal Supremo español, la jurisprudencia no es, propiamente, fuente del Derecho —las Sentencias no crean la norma— por lo que no son miméticamente trasladables las reglas que se proyectan sobre el régimen de aplicación de las leyes. A diferencia del sistema del common law, en el que el precedente actúa como una norma y el overruling, o cambio de precedente, innova el ordenamiento jurídico, con lo que es posible limitar la retroactividad de la decisión judicial, en el Derecho continental los tribunales no están vinculados por la regla del prospective overruling, rigiendo, por el contrario, el retrospective overruling (sin perjuicio de su excepcionamiento por disposición legal que establezca el efecto exclusivamente prospectivo de la Sentencia, como el art. 100.7 LJCA en el recurso de casación en interés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tuvimos ocasión de señalarlo ya en nuestra STC 95/1993, de 22 de marzo, en la que subrayamos que la Sentencia que introduce un cambio jurisprudencia “hace decir a la norma lo que la norma desde un principio decía, sin que pueda entenderse que la jurisprudencia contradictoria anterior haya alterado esa norma, o pueda imponerse como Derecho consuetudinario frente a lo que la norma correctamente entendida dice”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no concurren las excepcionales circunstancias apreciadas en el caso resuelto en la STC 7/2015, de 22 de enero, en el que la parte, con notoria diligencia, procedió a complementar el escrito de preparación inicialmente presentado para ajustarlo al nuevo criterio jurisprudencial tan pronto como tuvo conocimiento de ello, conducta procesal que el Tribunal Supremo no ponderó, lesionando así el derecho fundamental reconocido en el art. 24.1 CE. En este caso, sin embargo, la parte no procedió del modo expuesto.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consideración a lo argumentado en los anteriores fundamentos jurídicos, procede la desestimación del recurso de amparo interpuesto.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Casas Canarias de Campo, S.L.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marzo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formulan los Magistrados don Luis Ignacio Ortega Álvarez y don Juan Antonio Xiol Ríos a la Sentencia dictada en el recurso de amparo núm. 1716-2012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nuestros compañeros de Sala en la que se sustenta la Sentencia, manifestamos nuestra discrepancia con la fundamentación jurídica y el fallo de esta. Consideramos que hubiera debido ser estimatoria por vulneración del derecho a la tutela judicial efectiva (art. 24.1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de nuestra discrepancia son coincidentes con las que ya fueron expuestas en los Votos particulares formulados a la SSTC 7/2015, de 22 de enero; y 16/2015, de 16 de febrero, a los que para evitar reiteraciones innecesarias nos remitimos.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dos de marzo de dos mil quince.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