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2605/2012, promovido por Promotora de Informaciones S.A., representada por el Procurador de los Tribunales don Argimiro Vázquez Guillén y defendida por el Letrado don Carlos Casanova Caballero, contra el Auto de la Sala Tercera del Tribunal Supremo, de 3 de noviembre de 2011, por el que se inadmite el recurso de casación núm. 1499/2011, deducido contra la Sentencia de la Sala de lo Contencioso-administrativo de la Audiencia Nacional, de 16 de febrero de 2011, así como contra el Auto de la misma Sala, de 15 de marzo de 2012, por la que se inadmite el incidente de nulidad deducido contra aquél Auto. Ha intervenido el Abogado del Estado, así como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mayo de 2012, el Procurador don Argimiro Vázquez Guillén, formuló demanda contra las resoluciones judiciales reseñadas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Segunda de la Sala de lo Contencioso-Administrativo de la Audiencia Nacional, dictó Sentencia de 16 de febrero de 2011, por la que estimó parcialmente el recurso deducido por la demandante de amparo contra la resolución del Tribunal Económico-Administrativo Central de 31 de enero de 2008, en relación con el acuerdo de liquidación y sanción dictado respecto del impuesto de sociedades del ejercicio 2001, por el que se anulaba la sanción impuesta y se desestimaba 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 resolución prepararon recurso de casación tanto el Abogado del Estado como la demandante de amparo, que lo hizo mediante escrito de fecha 28 de febrero de 2011. En él puso de manifiesto la intención de interponerlo, el cumplimiento del plazo para la presentación del escrito, el carácter recurrible de la resolución impugnada y la suficiencia de la cuantía para el acceso a la casación; a ello añadió la precisión de que el recurso iba a fundarse en los motivos previstos en los apartados c) y d) del art. 88.1 de la Ley reguladora de la jurisdicción contencioso-administrativa (LJCA). El recurso fue tenido por preparado por diligencia de ordenación de la Sala de lo Contencioso-Administrativo de la Audiencia Nacional de 4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en el Registro General del Tribunal Supremo el día 31 de marzo de 2011, la demandante de amparo se personó y formalizó el escrito de interposición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7 de junio de 2011, el órgano judicial acordó poner de manifiesto las actuaciones a las partes por término de diez días para que alegaran lo que estimaren procedente en relación con la posible concurrencia de la causa de inadmisión en los recursos de casación interpuestos consistente en “no haber hecho indicación en el escrito de preparación del recurso, de las concretas infracciones normativas o jurisprudenciales que se desarrollarán en el escrito de interposición [artículos 88.1, 89 y 93.2 a) de la LRJCA y Auto de la Sala de 10 de febrero de 2011, dictado en el recurso de casación 2927/2010]”. Tanto el Abogado del Estado como el demandante de amparo cumplieron el trámite conferido interesando la admisión del recurso de casación respectivamente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Seguidamente el Tribunal Supremo dictó el Auto de 3 de noviembre de 2011 frente al que se demanda amparo, por el que inadmitió el recurso de casación deducido por el demandante, así como el interpuesto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 remitió al ATS de 10 de febrero de 2011, del que transcribió varios de sus fundamentos, a la vista de los cuales concluyó, en lo que ahora interesa, que, no habiéndose citado en el escrito de preparación del recurso formalizado por la sociedad recurrente las infracciones normativas o jurisprudenciales que iban a desarrollarse en el escrito de interposición, pues se limitaba a anunciar que el recurso se fundamentaría en los motivos previstos en los apartados c) y d) del art. 88.1 de la Ley jurisdiccional, procedía la inadmisión del recurso de casación deducido por la demandante de amparo. También se inadmitía, por igual motivo, el interpuesto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enumeración que recoge el art. 89.1 LJCA, no agota las exigencias formales del escrito de preparación, pues tan sólo enuncia aquéllas que aparecen desconectadas de los concretos motivos de casación que sustentarán el indicado recurso. Recuerda —con cita de numerosas resoluciones— que el Tribunal Supremo viene exigiendo de forma reiterada la necesidad de anticipar en el escrito de preparación los concretos motivos en que se fundamentará el escrito de interposición. Afirma que es doctrina reiterada la que considera que la fase de preparación no es un mero formalismo sino un trámite que adquiere sustantividad propia, en cuanto ha sido establecido con la finalidad de permitir al mismo Tribunal que ha dictado la resolución judicial efectuar un primer juicio sobre la procedencia del recurso y constatar si se dan las condiciones previstas en la ley para darle trámite, con el propósito de proporcionar a la parte recurrida información acerca de los motivos en que se fundamentará el recurso de casación, a fin de adoptar —en consecuencia— la posición procesal que estime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en los AATS de 10 de febrero de 2011 y 12 de mayo de 2011, el Tribunal Supremo ha indicado que es carga del recurrente en casación indicar ya en la fase de preparación el concreto o concretos motivos en que se funda el recurso, con indicación de los concretos preceptos o jurisprudencia que se consideran infringidos o que se pretendan denunciar. Si así no lo hiciera, el trámite de preparación quedaría privado de su sentido y finalidad característicos. Dicha exigencia existe tanto cuando la resolución impugnada procede de los Tribunales Superiores de Justicia como de la Audiencia Nacional y cualquiera que sea el motivo del art. 88.1 que se utilice. Si el escrito de preparación no especifica en modo alguno los motivos a los que se acogerá la impugnación con las exigencias expresadas, el recurso será inadmisible por aplicación del art. 93.2 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remitirse a las consideraciones jurídicas vertidas en los AATS, de 14 de octubre de 2010 y de 10 de febrero de 2011, el Tribunal Supremo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 de ponerse de manifiesto que es reiterada la doctrina constitucional que admite sin reservas el cambio de criterio jurisprudencial, siempre que éste no sea arbitrario y esté motivado, sin que quepa pretender de la jurisprudencia un carácter monolítico y estático, puesto que su valor reside precisamente en su dinámica adaptativa y motivada a las nuevas realidades en que se desenvuelven las relaciones jurídicas, teniendo en cuenta la libertad de apreciación de todo órgano jurisdiccional en el ejercicio de su función juzgadora (de conformidad con el artículo 117.3 de la Constitución Española ) y la consecuencia de una diferente concepción jurídica igualmente razonable y fundada en Derecho de los supuestos sometidos 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viene entendiendo (entre otras, STC 76/2005, de 4 de abril, recurso de amparo nº 2.182/2002) que los cambios jurisprudenciales han de ser conscientes y justificados, con vocación de generalidad suficiente como para impedir su calificación como irreflexivo, arbitrario, ocasional e inesperado, de modo que, cumpliéndose esos requisitos, no podría estimarse vulnerado el principio de igualdad en su vertiente de aplicación judicial de la Ley. Efectivamente, el Alto Tribunal considera que los cambios de criterio jurisprudenciales son legítimos cuando son razonados y razonables (STC 29/2005, de 14 de febrero, recurso de amparo nº 6.002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que prohíbe el principio de igualdad en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personam (por todas, STC 176/2000, de 26 de junio, recurso de amparo nº 6.604 /1997). De este modo, los cambios de criterio jurisprudenciales no erosionan los principios constitucionales de igualdad ni de seguridad jurídica. En los mismos términos se ha pronunciado esta Sala Tercera del Tribunal Supremo en numerosas sentencias, por todas ellas STS de 5 de julio de 2002, recurso de casación nº 5.552/1997, y STS de 22 de diciembre de 2003, recurso de casación nº 5.455/1998.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Sala habrá de aplicar el nuevo criterio jurisprudencial a todo supuesto o situación jurídica que tenga ante sí para resolver, con independencia del momento temporal en que se interpuso el recurso. Es lo que el Tribunal Constitucional ha entendido como el “mínimo efecto retroactivo”. En caso contrario, quedaría petrificada la nueva interpretación jurisprudencial a aquellos escritos de interposición de recursos que fueran presentados debidamente ante los Tribunales de Justicia a partir del momento del "anuncio" del cambio de criterio, "anuncio" a que no están obligados los órganos jurisdiccionales, tal y como tiene asentada la doctrina constitucional referida. Asimismo, hay que tener en cuenta que una resolución judicial que incorpora un cambio de criterio jurisprudencial y cuya eficacia fuese meramente prospectiva sería un mero obiter dictum, convirtiendo al Tribunal en legislador, amén de que se frustraría la finalidad del proceso porque la sentencia no afectaría a las partes. El único límite temporal a que se limitan los cambios de criterio jurisprudenciales, de conformidad con la doctrina del Tribunal Constitucional, es a las situaciones jurídicas que gozan de la protección de la cosa juzgada, como no podía ser menos como garantía de salvaguardia de la tutela judicial efectiva proclamada en el artículo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 de diciembre de 2011, la demandante de amparo dedujo incidente de nulidad de actuaciones en el que, con una extensa argumentación, alegó vulneración del derecho a la tutela judicial efectiva, reconocido en el art. 24.1 de la Constitución, en su variante de acceso al recurso legal, por rigorismo y formalismo al inadmitir el recurso de casación, en tanto que la parte demandada y la Sala han podido conocer el contenido y alcance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15 de marzo de 2012, frente al que también se demanda amparo, se desestimó el incidente de nulidad promovido por la demandante. Se razona que la demandante expresa su discrepancia con la inadmisión del recurso de casación, utilizando el incidente de nulidad a modo de recurso de súplica, pretendiendo someter a crítica la bondad jurídica de una resolución que es firme y reiterando lo alegado en el escrito de alegaciones. Añade que la declaración de inadmisibilidad tampoco contradice el derecho a un proceso equitativo, reconocido en el art. 6.1 del Convenio europeo de derechos humanos, al respetarse el principio de proporcionalidad entre las limitaciones impuestas al derecho y el acceso a un tribunal para que examine el recurso y las consecuencias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resolución del presente recurso de amparo ha de tenerse igualmente presente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89.1 LJCA dispone que en el escrito de preparación del recurso de casación deberá manifestarse “la intención de interponer el recurso, con sucinta exposición de la concurrencia de los requisitos de forma exigidos”. El art. 89.2 LJCA dispone que “en el supuesto previsto en el art. 86.4 ‘sentencias dictadas por las salas de lo contencioso-administrativo de los Tribunales Superiores de Justicia, contra las que solo cabe recurso si este puede fundarse en infracción de normas de Derecho estatal o comunitario europeo’, habrá de justificarse que la infracción de una norma estatal o comunitaria europea ha sido relevante y determinante del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Inicialmente el Tribunal Supremo circunscribió los requisitos de forma que deben expresarse en el escrito de preparación a la necesidad de hacer constar el carácter susceptible de recurso de la resolución impugnada, la legitimación de la parte recurrente, el cumplimiento del plazo legalmente fijado para presentar el escrito de preparación, y la intención de interponer el recurso de casación. En el caso de resoluciones procedentes de los Tribunales Superiores de Justicia, por disponerlo así el art. 89.2 en relación con el art. 86.4 LJCA, se entendía exigible también la anticipación o anuncio en el escrito de preparación de los motivos que iban a desarrollarse en la interposición y la expresión de las concretas infracciones denunciadas de la ley y de la jurisprudencia aplicables, con la finalidad de determinar si se trataba de normas estatales o de Derecho europeo relevantes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adelante, algunas resoluciones del Tribunal Supremo (AATS de 3 de diciembre de 2009, recurso de casación 577-2009; 4 de marzo de 2010, recurso de casación 4416-2009, y 6 de mayo de 2010, recurso de casación 6228-2009) comenzaron a entender exigible con carácter general en los escritos de preparación del recurso de casación la expresión de los motivos de casación que iban a desarrollarse en el escrito de interposición. Tal exigencia no era general, pues, como declaran los AATS de 14 de octubre de 2010, recursos de casación 951-2010 y 573-2010; 18 de noviembre de 2010, recurso de casación 3461-2010; 25 de noviembre de 2010, recursos de casación 1886-2010 y 2738-2010; y 2 de diciembre de 2010, recursos de casación 3852-2010 y 5030-2010, “debe reconocerse que en ocasiones tal exigencia se ha predicado tan solo respecto de los recursos de casación preparados frente a sentencias de las Salas de lo Contencioso-administrativo de los Tribunales Superiores de Justicia, excluyéndose expresamente esta exigencia respecto de las sentencias de lo Contencioso-administrativo de la Audiencia Nacional (en este sentido, Autos de esta Sala y Sección de 23 abril 2009, recurso de casación 3146-2008; 9 julio de 2009, recurso de casación 5647-2008; y 6 abril 2010, recurso de casación 1368-2009,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AATS 951/2010 y 573/2010, de 14 de octubre de 2010, y 3461/2010, de 18 de noviembre de 2010, al objeto de “clarificar” la jurisprudencia, la Sección Primera de la Sala de lo Contencioso-Administrativo del Tribunal Supremo precisó que la exigencia de “anticipar” en el escrito de preparación los motivos de casación era aplicable también a las Sentencias y Autos dictados por la Audiencia Nacional, como extensión de las exigencias de forma impuestas para el escrito de preparación del recurso de casación por el art. 89.1 LJCA. Según estos autos, en el escrito de preparación “es carga del recurrente en casación indicar ya en la fase de preparación el concreto o los concretos motivos en que se fundará el recurso”, con referencia a los “cuatro motivos que ahí se perfilan [se refiere al art. 88.1 LJCA]” (ATS 3461/2010, de 18 de noviembre de 2010.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ATS de 10 de febrero de 2011 (recurso de casación 2927-2010), al que se ha hecho ya referencia, dictado también por la Sección Primera de la Sala de lo Contencioso-Administrativo, a la que corresponde por reparto decidir sobre la admisibilidad de los recursos de casación, dictado también con la finalidad de “clarificar” la doctrina jurisprudencial, especificó que el escrito de preparación, con carácter general, debe contener no sólo la invocación de los motivos, sino también la indicación de “los concretos preceptos o jurisprudencia que se reputan infringidos o del contenido de las infracciones normativas o jurisprudenciales que se pretenda denunciar y desarrollar en el escrito de interposición del recurso de casación, aunque fuera de forma sucinta”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expone las razones por las cuales se introdujo esta especificación de la siguiente forma: “Si así no se exigiera, es decir, si se estimara innecesario anticipar el motivo o motivos al que se acogerá el éxito de interposición en los términos expresados, el trámite de preparación quedaría privado de sentido y finalidad característicos, desde el momento en que el tribunal a quo quedaría desprovisto de elementos de juicio para verificar que el recurso de casación cumple el más primario requisito de procedibilidad, cuando este se funda formalmente en uno de sus cuatro motivos, con indicación de las infracciones normativas o jurisprudenciales denunciadas, y no en otro tipo de consideraciones ajenas al sistema de la Ley procesal, y la parte recurrida carecería de la información necesaria al respecto para adoptar la posición procesal que estimara pertinente. Esta exigencia de expresión de las concretas infracciones normativas o jurisprudenciales en el escrito de preparación existe tanto cuando la resolución impugnada procede de los Tribunales Superiores de Justicia como de la Audiencia Nacional y cualquiera que sea el motivo del artículo 88. 1 que se utilice”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se reprocha al Auto de inadmisión frente al que se solicita amparo la vulneración del derecho a la tutela judicial efectiva, en su vertiente de derecho de acceso a los recursos. Afirma que en el escrito de preparación se dio cumplimiento al art. 88.1 d) LJCA, al citar las normas que se consideraban infringidas. En todo caso, considera subsanable la omisión contenida en el escrito de preparación del recurso, máxime cuando lo que parece que se encuentra en juego es el alcance de la “sucinta exposición”.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el Auto impugnado es contrario al principio “antiformalista y al principio favor acti”, mucho más si se toma en consideración que cuando se dicta dicho Auto la Sala ya tiene en su poder el escrito de interposición en el que se articulan los motivos propiamente dichos del recurso y se establecen los preceptos de las normas previamente invocadas que se reputan infringidas, pudiendo ser valorados conjuntamente el escrito de preparación y el de interposición en orden a la tramitación del recurso. Entiende que la parte demandada y el Tribunal Supremo han podido conocer perfectamente el contenido y alcance del recurso, cumpliendo con ello la finalidad del escrito de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posición del Tribunal Supremo casa mal con la doctrina del Tribunal Constitucional, al llevar a cabo una interpretación rigorista, fruto de un formalismo excesivo, que es claramente desproporcionada al contrastarse con los intereses que se sacrifican. Pues conociendo el Tribunal Supremo los motivos invocados y los extremos objeto del recurso, hubiese podido entrar a conocer del recurso al constar de manera indubitada la normativa que se invocaba y al no existir contradicción entre el escrito de preparación y el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mayo de 2013, la Sala Primera acordó admitir a trámite la demanda de amparo. Asimismo, en aplicación de lo dispuesto en el art. 51 de la Ley Orgánica del Tribunal Constitucional (LOTC), acordó dirigir atenta comunicación al Tribunal Supremo y a la Audiencia Nacional a fin de que, en el plazo de diez días, remitieran certificación o fotocopia adverada de las actuaciones correspondientes al recurso de casación núm. 1499-2011 y al recurso núm. 57-2008, respectivamente, debiendo previamente emplazarse para que pudieran comparecer en el recurso de amparo, en el término de diez días, a quienes hubieran sido parte en el procedimiento, excepto a la parte recurrente en amparo, acordando notificarle la resolución con efectos de emplazamiento al Abogado del Estado, en representación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certificaciones interesadas de las actuaciones judiciales y personado el Abogado del Estado mediante escrito presentado el 14 de mayo de 2013, mediante diligencia de ordenación de 10 de junio de 2013, a tenor de lo dispuesto en el art.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alegaciones mediante escrito presentado el 9 de julio de 2013, en el que solicita que se “dicte sentencia con arreglo a Derecho”. Considera que la exigencia jurisprudencial contenida en el ATS de 10 de febrero de 2011 de anticipar resumidamente los motivos casacionales que se desarrollaran en el escrito de interposición, no puede calificarse ni de arbitraria ni de irrazonable. Afirma que el auténtico problema constitucional que la demanda suscita, radica en la aplicación retrospectiva de las nuevas máximas jurisprudenciales contenidas en el ATS de 10 de febrero de 2011, inexistente cuando se presentó el escrito de preparación del recurso de casación. En conclusión, interesa que se dicte Sentencia cuya doctrina constitucional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presentó escrito el 10 de julio de 2013 por el que reproducía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mediante escrito registrado el 23 de julio de 2013. En él recoge la doctrina del Tribunal Constitucional sobre el acceso a los recursos y la evolución de la jurisprudencia del Tribunal Supremo sobre los requisitos que debe reunir el escrito de preparación del recurso de casación contencioso-administrativo. A la vista de las alegaciones formuladas en la demanda de amparo, interesa que se desestime íntegramente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su exhaustivo y pormenorizado informe, realiza un detallado repaso de la evolución de la doctrina del Tribunal Supremo en relación con los requisitos que deber reunir el escrito de preparación del recurso. Señala que el ATS 2371/2011, de 10 de febrero, cambió la doctrina hasta entonces existente en el sentido de exigir, también para los recursos contra sentencias de la Audiencia Nacional, que en el escrito de preparación se especifique el concreto o concretos motivos en que se fundará el recurso, con indicación de los concretos preceptos o jurisprudencia que se reputan infringidos o del contenido de las infracciones normativas o jurisprudenciales que se pretendan denunciar y desarrollar en el escrito de interposición del recurso de casación, aunque sea en forma sucinta. Sostiene que dicha doctrina es la que se aplicó al caso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circunscribiendo sus alegaciones al motivo de amparo invocado por el demandante, pone de manifiesto la doctrina del Tribunal Constitucional sobre el derecho de acceso al recurso, diferenciándolo del derecho de acceso a la jurisdicción, en lo relativo a la inoperancia del principio pro actione, en tanto que el derecho de acceso al recurso no nace directamente de la Constitución sino de la ley procesal, siendo pues un derecho de configuración legal, correspondiendo a los jueces y tribunales en exclusiva (art. 117.3 CE), verificar si el recurso cumple los requisitos procesales y materiales. Por ello, afirma, el control del Tribunal Constitucional es meramente externo, debiendo limitarse a comprobar si tienen motivación las resoluciones de inadmisión, si han incurrido en error patente, arbitrariedad o manifiesta irrazonabilidad. Siendo, si cabe, más limitado todavía el control que le corresponde al Tribunal Constitucional cuando la resolución enjuiciada en materia de acceso al recurso es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considera el Fiscal que por discutible que pueda parecer la argumentación que ha conducido a la inadmisión del recurso de casación, constituye una resolución debidamente motivada, no incursa en error patente, ni en irrazonabilidad, ni en arbitrariedad. Añade, el Fiscal, completando su exhaustivo informe, que la exigencia de especificar las concretas infracciones legales o jurisprudenciales fluye con naturalidad de los motivos de casación esgrimidos en el escrito de preparación del recurso, que se refieren precisamente a las infracciones de las normas reguladoras de la sentencia o de las que rigen los actos y garantías procesales y a la infracción de las normas del ordenamiento jurídico o de la jurisprudencia que fueran aplicable para resolver las cuestiones objeto de debate. Por ello concluye, que la exigencia resulta del propio tenor de los dos motivos de casación concretados por el demandante, que son los que ahora interesan, de modo que podría afirmarse que no es la jurisprudencia sino la norma legal la que impone tal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26 de febrero de dos mil quince, se señaló para deliberación y votación de la presente Sentencia el día 2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el Auto de la Sección Primera de la Sala de lo Contencioso-Administrativo del Tribunal Supremo de 3 de noviembre de 2011, que acordó no admitir a trámite el recurso de casación interpuesto contra la Sentencia de la Sala de lo Contencioso-Administrativo de la Audiencia Nacional de 16 de febrero de 2011, recaída en el procedimiento ordinario núm. 57-2008. También impugna el Auto que desestimó el incidente de nulidad de actuaciones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recurridas la vulneración de su derecho a la tutela judicial efectiva (art. 24.1 CE), en su vertiente de acceso a los recursos, afirmando que el Auto impugnado lleva a cabo una interpretación rigorista, fruto de un formalismo excesivo, contrario al principio pro actione, claramente desproporcionada a los intereses que se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planteado en la demanda de amparo ha sido ya abordado por este Tribunal en la STC 7/2015, de 22 de enero, en la que hemos tenido la oportunidad de examinar otro supuesto de inadmisión de un recurso de casación por omitirse en el escrito de preparación la cita de las normas y jurisprudencia que el recurrente reputaba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llevar a cabo una interpretación rigorista de las exigencias procesales del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diciembre 1997, caso Brualla Gómez de la Torre c. España; y de 25 enero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mayo 2000; Llopis Ruiz c. España, de 7 noviembre 2003; e Ipamark c. España, de 17 febrero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 Francia, § 74), pues la evolución de la jurisprudencia no es en sí contraria a la correcta administración de justicia, ya que lo contrario impediría cualquier cambio o mejora en la interpretación de las leyes (STEDH de 14 de enero de 2010, caso Atanasovski c.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su excepcionamiento por disposición legal que establezca el efecto exclusivamente prospectivo de la sentencia, como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de jurisprudencia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consideración a lo argumentado en los fundamentos anteriores,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Promotora de Informaciones,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a la Sentencia dictada en el recurso de amparo núm. 2605-2012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Sala en la que se sustenta la sentencia, manifestamos nuestra discrepancia con la fundamentación jurídica y el fallo de Esta. Consideramos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