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3045-2012, promovido por las sociedades mercantiles Inmobiliaria Alozaima S.L., Grupo Acraba, S.L., E.S. El Moro, S.L., Estagas, S.L., y Grossen, S.A., representadas por el Procurador de los Tribunales don David García Riquelme y asistidas por los Abogados don Alfredo Hernández Pardo y doña Lourdes Ruiz Ezquerra, contra el Auto de la Sección Primera de la Sala de lo Contencioso-Administrativo del Tribunal Supremo, de fecha 29 de septiembre del 2011, que resolvió la inadmisión del recurso de casación núm. 677-2011, interpuesto por las sociedades demandantes de amparo, y contra el Auto de fecha 15 de marzo de 2012, que desestimó el incidente de nulidad de actuaciones deducido contra la resolución precedente. Ha comparecido el Abogado del Estado, en la representación que ostenta. También ha comparecido la mercantil Disa Península, S.L.U., representada por la Procuradora de Tribunales doña Teresa de las Alas- Pumariño Larrañaga y asistida por el Abogado don Rafael Allendesalazar. Ha intervenido el Ministerio Fiscal. Ha sido Ponente el Magistrado don Pedro José González Trevijano-Sánchez,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mayo de 2012 tuvo entrada en el Registro General de este Tribunal el escrito presentado por el Procurador de los Tribunales don David García Riquelme, en representación de las entidades mercantiles Inmobiliaria Alozaima, S.L., Grupo Acraba, S.L., E.S. El Moro, S.L., Estagas, S.L., y Grossen, S.A., y asistidas por los Abogados don Alfredo Hernández Pardo y doña Lourdes Ruiz Ezquerra, mediante el cual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demandantes de amparo (junto con otra que no ha comparecido en el presente recurso de amparo) interpusieron recurso contencioso-administrativo contra el acuerdo del Consejo de la Comisión Nacional de la Competencia (expediente 691 DISA), de fecha 27 de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núm.35-2008, la Sala de lo Contencioso-Administrativo de la Audiencia Nacional (Sección Sexta) dictó, en fecha 2 de diciembre de 2010, Sentencia desestimatoria de las pretensiones de las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el día 10 de enero de 2011, las sociedades demandantes de amparo (junto con la otra entidad que no ha comparecido en el presente recurso) interesaron que se tuviera por preparado recurso de casación contra la Sentencia antes indicada. En dicho escrito pusieron de manifiesto la intención de interponer recurso de casación y, a su vez, indicaron que el recurso iba a fundarse en los motivos previstos en el art. 88.1 d)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fecha 27 de enero de 2011, la Sala de lo Contencioso-Administrativo de la Audiencia Nacional tuvo por preparado el recurso de casación. Asimismo, dicho órgano acordó emplazar a las demandantes para que comparecieran ante la Sala Tercera del Tribunal Supremo. Una vez recibidas las actuaciones por el órgano ad quem, el día 16 de marzo de 2011 las entidades actoras interpusieron el recurso de casación ante la Sala Tercera del Tribunal Supremo. El recurso de casación fue registrado con el número 677-2011.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26 de abril de 2011, la Sala Tercera del Tribunal Supremo confirió traslado a las partes, a fin que formularan alegaciones sobre la posible concurrencia de causa de inadmisión, consistente en no haber citado en el escrito de preparación las infracciones normativas o jurisprudenciales que iban a desarrollarse en el escrito de interposición [arts. 88.1, 89.1 y 93.2 a) LJCA], conforme a lo establecido en el ATS de 10 de febrero de 2011, dictado en el recurso de casación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16 de mayo de 2011, las sociedades demandantes evacuaron el traslado conferido. En síntesis, pusieron de relieve cuál es, según su criterio, la finalidad del escrito de preparación del recurso de casación y qué requisitos de forma deben ser cumplimentados, entre los cuales no figura la obligación de indicar las infracciones legales o jurisprudenciales atribuidas a la Sentencia recurrida. Asimismo, indicaron que el ATS de fecha 10 de febrero de 2011 es de fecha posterior al escrito de preparación del recurso de casación, de manera que la nueva doctrina estatuida no puede ser aplicada a situaciones precedentes. Por todo ello, interesaron la admisión del recurso de casación, para así satisfacer el derecho al acceso a los recursos que les reconoce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29 de septiembre de 2011, la Sala Tercera del Tribunal Supremo (Sección Primera) acordó la inadmisión del recurso de casación. En apoyo de su decisión, la Sala se remitió a la doctrina establecida en ATS de 10 de febrero de 2011 y concluyó que, al no haberse citado en el escrito de preparación del recurso de casación las infracciones normativas o jurisprudenciales que iban a desarrollarse en el escrito de interposición, procedía la inadmisión del referido recurso. Respecto de la alegación de las demandantes, acerca de que la preparación del recurso de casación tuvo lugar con anterioridad al dictado del ATS de fecha 10 de febrero de 2011, la Sala consideró que, de acuerdo con la doctrina constitucional, los jueces y tribunales pueden modificar la interpretación precedente sobre determinados preceptos legales, con tal que el cambio de criterio sea razonado, en términos de Derecho, para que no resulte arbitrario ni sea fruto de un mero voluntarismo casuístico. Por tanto, la exigencia de igualdad y no arbitrariedad no puede traducirse en una petrificación de la jurisprudencia, de modo que cada órgano judicial quede rígidamente vinculado por sus propios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29 de noviembre de 2011, la sociedades recurrentes promovieron incidente de nulidad de actuaciones, en el cual, con una extensa argumentación, alegaron la vulneración del derecho a la igualdad en la aplicación judicial de la Ley (artículo 14 CE) y del derecho a la tutela judicial efectiva en su vertiente de acceso a los recursos (artículo 24.1 CE). Denunciaron, en resumen, que el Tribunal Supremo había introducido una modificación arbitraria e infundada respecto de los requisitos del escrito de preparación del recurso de casación contra Sentencias dictadas por la Audiencia Nacional, pues dicho cambio de criterio impone el cumplimiento de unas exigencias no contempladas en la ley y, además, se aplica a escritos de preparación presentados con anterioridad a que pudiera conocerse el nuevo criterio establecido. Finalmente, invocaron la quiebra del derecho a la igualdad en la aplicación judicial de la ley, puesto que otros recursos de casación fueron admitidos cumpliendo los mismos presupuestos formales que los seguidos por las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15 de marzo de 2012 fue desestimado el incidente de nulidad de actuaciones promovido contra el Auto de 10 de noviembre de 2011. En esencia, el órgano judicial considera que las demandantes se limitan a discrepar de las razones tenidas en consideración para inadmitir el recurso de casación, asimilando el incidente de nulidad a un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del derecho a la igualdad en la aplicación judicial de la ley (art 14 CE) y del derecho a la tutela judicial efectiva sin indefensión, en su vertiente del acceso a los recursos (art. 24.1 CE). En síntesis, tales vulneraciones se asientan en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en cuya virtud se inadmitió el recurso de casación exige al recurrente anticipar, en el escrito de preparación del recurso de casación, los concretos preceptos o la jurisprudencia que se reputan infringidos. Dicha imposición carece de cobertura en la LJCA, puesto que ningún precepto de la citada norma así lo exige cuando se impugnan Sentencias dictadas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el criterio sustentado en el referido Auto se ha aplicado con carácter retroactivo, pues no era conocido ni predecible al momento de preparar el recurso de casación. A este respecto, destaca la diferencia entre los cambios jurisprudenciales relativos a cuestiones sustantivas, que resuelven el fondo del asunto, y las modificaciones de criterio referidas a las normas sobre la admisibilidad de los recursos, las cuales no pueden ser exigidas una vez vencido el trámite sobre el que se proyecta el cambio de criterio, pues ello origina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modificación de criterio efectuado por la Sala Tercera del Tribunal Supremo comporta una quiebra del principio de igualdad en la aplicación de la ley, toda vez que otros recursos preparados siguiendo el mismo esquema fueron admitidos a trámite, por la aplicación de un criterio más benévolo para el derecho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16 de septiembre de 2013, el Magistrado de este Tribunal don Juan José González Rivas solicitó se le tuviera por abstenido en el presente recurso, dada la concurrencia de la causa de abstención prevista en el art. 219.11 de la Ley Orgánica del Poder Judicial (LOPJ), de aplicación supletoria conforme a lo establecido en el art. 80 de la Ley Orgánica del Tribunal Constitucional (LOTC), habida cuenta de que formó parte de la Sección Primera de la Sala Tercera del Tribunal Supremo, órgano este que dictó el Auto de fecha 15 de marzo de 2012, que es objeto de impugnación en el presente recurso. Mediante escrito de fecha 30 de octubre de 2013, el referido Magistrado también comunicó haber formado parte de la referida Sección, que también dictó el Auto de inadmisión, de fecha 29 de septiembre de 2011, igualmente combatido en el presente recurso de amparo. Por Auto de fecha 23 de septiembre de 2013, la Sección Tercera de este Tribunal resolvió estimar justificada la causa de abstención invocada, apartando definitivamente del conocimiento del presente recurso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noviembre de 2013, la Sala Segunda del Tribunal Constitucional acordó admitir a trámite la demanda de amparo. Asimismo, en aplicación de lo dispuesto en el art. 51 LOTC dispuso dirigir atenta comunicación al Tribunal Supremo y a la Audiencia Nacional, a fin de que, en el plazo de diez días, remitieran certificación o fotocopia adverada de las actuaciones correspondientes al recurso de casación núm. 677-2011 y al recurso núm. 35-2008,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21 de noviembre de 2013, el Abogado del Estado, en la representación que le es propia, solicitó que se le tuviera por personado y parte en el presente recurso. Asimismo, por escrito de fecha 29 de abril de 2014, la sociedad Disa Península, S.L.U., quien había sido emplazada por la Sala de lo Contencioso-Administrativo de la Audiencia Nacional conforme a lo acordado en la providencia citada en el apartado anterior, solicitó que se la tuviera por comparecida en el presente recurso, bajo la representación del Procuradora de Tribunales doña Teresa de Alas-Pumariño Larrañaga y asistida por el abogado don Rafael Allendesalazar.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22 de mayo de 2014, se tuvo por personado y parte al Abogado del Estado, en representación de la Administración del Estado, y a la sociedad Disa Península, S.L.U. A tenor de lo dispuesto en el art. 52.1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registrado el día 30 de mayo de 2014. En síntesis, considera que, a la luz de la doctrina constitucional, el Auto de inadmisión combatido en amparo vulnera el derecho al acceso a los recursos que garantiza el art. 24.1 CE. Para el Abogado del Estado el auténtico problema constitucional que la demanda suscita radica en la aplicación retrospectiva de las nuevas máximas jurisprudenciales plasmadas en el ATS de 10 de febrero de 2011, que la demandante no podía conocer cuando preparó el recurso de casación. En el presente caso, la inadmisión del recurso de casación se sustenta, precisamente, en que no se preparó conforme a las referidas máximas, lo que supone imponer retroactivamente un novedoso régimen procesal desfavorable a la realización de un acto procesal totalmente concluido. Por tanto, la cuestión principal radica en la irrazonabilidad de una decisión que impone unos requisitos de forma que la parte no tenía posibilidad de conocer ni, por tanto, de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Abogado del Estado interesa que se dicte Sentencia cuya doctrina refleje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20 de junio de 2014 presentó sus alegaciones la entidad Disa Península, S.L.U. Para dicha sociedad, las resoluciones combatidas en el presente recurso de amparo no vulneran el art. 14 CE. A ese respecto, considera que las demandantes no han aportado un término válido de comparación sobre el que sustentar la pretendida desigualdad constitucionalmente proscrita. Por otro lado, añade que no concurre ninguna de las circunstancias que, según la doctrina constitucional, dan lugar a la desigualdad en la aplicación de la ley por parte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denunciada lesión de la tutela judicial efectiva (art. 24.1 CE), considera que el motivo está también desprovisto de todo fundamento, habida cuenta de que el giro jurisprudencial a que se alude tuvo lugar, al menos, desde el año 2009. Sobre ese particular advierte que, desde el año mencionado, diversas resoluciones del Tribunal Supremo venían exigiendo que en el escrito de preparación se indicasen los motivos del recurso de casación (AATS de fecha 3 de noviembre de 2009, 14 de octubre, 18 de noviembre y 25 de noviembre de 2010). En consecuencia, la indefensión que invocan las demandantes no es imputable al órgano judicial, sino a un error cometido por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entidad personada sostiene que la inadmisión está exhaustivamente motivada, se basa en una causa legalmente prevista y es absolutamente compatible con lo establecido en los arts. 9.3, 14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20 de junio de 2014. Descarta la vulneración del art. 14 CE, dado que las sociedades demandantes no han ofrecido un desarrollo argumental adecuado para justificar la vulneración de la igualdad en la aplicación de la ley. Tal deficiencia aboca al fracaso del motivo, toda vez que no le corresponde al Tribunal Constitucional reconstruir las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la pretendida vulneración del art. 24.1 CE, pues entiende que la argumentación ofrecida para inadmitir el recurso de casación no incurre en arbitrariedad, falta de razonabilidad o error patente. A mayor abundamiento, añade que el criterio mantenido por el órgano judicial en relación con los requisitos del escrito de preparación del recurso de casación, esto es, la obligación de indicar las concretas infracciones normativas o jurisprudenciales, se desprende del propio tenor de los apartados c) y d) del art. 88 LJCA. Por ello, concluye que el requisito cuyo incumplimiento ha determinado la inadmisión del referido recurso no viene impuesto por la jurisprudencia, sino por la propia normativa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23 de junio de 2014, la mercantil Grossen, S.A., interesó que se la tuviera por desistida del presente recurso de amparo. Tras la realización de los trámites oportunos, por Auto de la Sala Segunda de este Tribunal, de fecha 8 de septiembre de 2014, se acordó tener por desistida a la referida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25 de junio de 2014 presentaron sus alegaciones las entidades demandantes (salvo la sociedad desistida), en el sentido de ratificar íntegramente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de fecha 17 de julio de 2014, el Magistrado de este Tribunal don Ricardo Enríquez Sancho solicitó se le tuviera por abstenido en el presente recurso, dada la concurrencia de la causa de abstención prevista en el art. 219.11 LOPJ, de aplicación supletoria conforme a lo establecido en el art. 80 LOTC, habida cuenta de que, a la sazón, formó parte de la Sección Primera de la Sala Tercera del Tribunal Supremo, órgano este que dictó el Auto de inadmisión de 29 de septiembre de 2011, del que trae causa el presente recurso de amparo. Por Auto de fecha 17 de julio de 2014, la Sala Segunda de este Tribunal resolvió estimar justificada la causa de abstención invocada, apartando definitivamente del conocimiento del presente recurso y de todas sus incidencias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fecha de 17 de marzo de 2015, el Pleno, en su reunión de esa fecha y conforme establece el artículo 10.1 n) de la Ley Orgánica del Tribunal, a propuesta de la Sala Segunda, acuerda recabar para sí el conocimiento del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entidades demandantes de amparo impugnan el Auto de la Sección Primera de la Sala de lo Contencioso-Administrativo del Tribunal Supremo de 29 de septiembre de 2011, que acordó no admitir a trámite el recurso de casación interpuesto contra la Sentencia de la Sala de lo Contencioso-Administrativo de la Audiencia Nacional (Sección Sexta) de 2 de diciembre de 2010, recaída en el procedimiento ordinario núm. 35-2008. También impugnan el Auto de fecha 15 de marzo de 2012, en cuya virtud se desestimó el incidente de nulidad promovido contra la resolución citada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recurrentes, según se expresa con más detalle en los antecedentes de hecho de esta resolución, imputa a las resoluciones recurridas: (i) la vulneración de su derecho a la tutela judicial efectiva (art. 24.1 CE), en su vertiente de acceso a los recursos, porque el Auto impugnado se funda en un requisito de admisibilidad no exigido por la ley; (ii) la vulneración de su derecho a la tutela judicial efectiva (art. 24.1 CE), en su vertiente de acceso a los recursos, porque la exigencia de anticipar, en el escrito de preparación del recurso de casación, los concretos preceptos o la jurisprudencia que se reputan infringidos se ha aplicado a un supuesto en el que aquella exigencia no era conocida ni predecible a tenor de la jurisprudencia precedente; (iii) la vulneración de su derecho a la igualdad en la aplicación judicial de la ley (art.14 CE), pues entiende que la interpretación jurisprudencial combatida ha supuesto para las entidades demandantes un trato menos favorable, desde la perspectiva del acceso a los recursos, que las resoluciones dictadas con anterioridad al ATS de fecha 10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la jurisprudencia que el recurrente reputa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17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de noviembre de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anteriormente indicada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la excepción que, por disposición legal, establezca el efecto exclusivamente prospectivo de la Sentencia, como así se prevé en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las sociedades recurrentes no procedieron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y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las recurrentes—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las entidades mercantiles Inmobiliaria Alozaima, S.L., Grupo Acraba, S.L., E.S. El Moro, S.L., y Estagas,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Juan Antonio Xiol Ríos a la Sentencia dictada en el recurso de amparo avocado núm. 3045-2012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las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