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Santiago Martínez-Vares García, don Juan Antonio Xiol Ríos, don Pedro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5985-2012, promovido por el Ayuntamiento de Málaga, representada por el Procurador de los Tribunales don Vicente Ruigómez Muriedas y asistida por el Abogado don Sergio Verdier Hernández, contra el Auto de la Sección Primera de la Sala de lo Contencioso-Administrativo del Tribunal Supremo, de fecha 10 de mayo de 2012, que resolvió la inadmisión del recurso de casación núm. 6176-2011, interpuesto por la entidad demandante, y contra la providencia, de fecha 10 de septiembre del 2012, que inadmitió el incidente de nulidad de actuaciones interpuesto contra la resolución precedente. Ha comparecido el Abogado del Estado, en la representación que ostenta, y ha intervenido el Ministerio Fiscal.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octubre del 2012 tuvo entrada en el Registro General de este Tribunal el escrito presentado por el Procurador de los Tribunales don Vicente Ruigómez Muriedas, actuando en nombre y representación del Ayuntamiento de Málaga y bajo la dirección letrada del Abogado don Sergio Verdier Hernández,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Málaga interpuso recurso contencioso-administrativo contra el acuerdo del Consejo de la Comisión del Mercado de las Telecomunicaciones, de fecha 18 de febrero de 2010, en cuya virtud le fue impuesta una sanción de 300.000 €, se le intimó a realizar la notificación fehaciente prevista en el art. 6.2 de la Ley general de telecomunicaciones, y a que abonase el importe de la tasa general de operadores prevista en el art. 56.2 de la referida Ley, y contra el acuerdo del indicado Consejo, de fecha 13 de mayo de 2011, que resolvió la inscribir de oficio al mencionado Ayuntamiento en el registro de operadores de redes y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180-2010, la Sala de lo Contencioso-Administrativo de la Audiencia Nacional (Sección Octava) dictó, en fecha 1 de septiembre de 2011, Sentencia desestimatoria de las pretensiones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23 de septiembre de 2011, el Ayuntamiento de Málaga formuló escrito de preparación del recurso de casación contra la Sentencia recaída en la instancia. En dicho escrito puso de manifiesto la intención de interponer recurso de casación y, a su vez, indicó que el recurso iba a fundarse en los motivos previstos en los arts. 88.1 c) y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fecha 29 de noviembre de 2011, la Sala de lo Contencioso-Administrativo de la Audiencia Nacional tuvo por preparado el recurso de casación. Asimismo, dicho órgano acordó emplazar al recurrente para que compareciera ante la Sala Tercera del Tribunal Supremo. Una vez recibidas las actuaciones por el órgano ad quem, el día 16 de enero del 2012 la actora interpuso el recurso de casación ante la Sala Tercera del Tribunal Supremo. El recurso de casación fue registrado con el núm. 6176-2011.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23 de febrero de 2012, la Sala Tercera del Tribunal Supremo confirió traslado a las partes, a fin que formularan alegaciones sobre la posible concurrencia de la causa de inadmisión, consistente en no haber citado en el escrito de preparación las infracciones normativas o jurisprudenciales que iban a desarrollarse en el escrito de interposición (arts. 88.1 y 89.1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marzo de 2012 la entidad demandante evacuó el traslado conferido, interesando la admisión a trámite del recurso de casación. En síntesis, consideró que el Tribunal Supremo no había resuelto definitivamente sobre sí es preceptivo indicar, en el escrito de preparación del recurso de casación, las concretas infracciones normativas o jurisprudenciales en que se pretenda sustentar el recurso; que, en cualquier caso, el Tribunal a quo ha sanado esa eventual deficiencia, al considerar debidamente preparado el recurso; que el recurso de casación se interpuso con anterioridad a que el Tribunal Supremo advirtiera el posible defecto habido en el escrito de preparación, de manera que igualmente habría quedado subsanada la omisión inicial; y, por último, que en la fecha en que se preparó el recurso de casación aún no se habían publicado, en las bases de datos de uso habitual, aquellas resoluciones que recogían el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10 de mayo de 2012, la Sala Tercera del Tribunal Supremo (Sección Primera) acordó la inadmisión del recurso de casación. La Sala se remitió a la doctrina establecida en ATS de 10 de febrero de 2011 y concluyó que no habiéndose citado, en el escrito de preparación del recurso formalizado por la sociedad recurrente, las infracciones normativas o jurisprudenciales que iban a desarrollarse en el escrito de interposición, procedía la inadmisión del recurso de casación. Por otro lado, la Sala consideró de aplicación lo que la doctrina constitucional ha calificado como “mínimo efecto retroactivo”, de manera que el nuevo criterio jurisprudencial resulta extensible a todo supuesto o situación jurídica que tenga ante sí para resolver, con independencia del momento temporal en que se interpuso el recurso. Finalmente, el órgano judicial citado entendió que el defecto advertido en el escrito de preparación no puede ser sanado por actuaciones procesales posteriores, habida cuenta de que, conforme establece el art. 93. 2 a) LJCA, la inadmisión del recurso deviene imperativa cuando no se han cumplimentado los requisitos del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19 de junio de 2012, el Ayuntamiento de Málaga promovió incidente de nulidad de actuaciones en el que, con una extensa argumentación, alegó la vulneración del derecho a la igualdad en la aplicación judicial de la ley (art. 14 CE) y del derecho a la tutela judicial efectiva en su vertiente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10 de septiembre de 2012 fue inadmitido el incidente de nulidad de actuaciones promovido contra el Auto de inadmisión del recurso de casación. En esencia, el órgano judicial considera que la demandante se limita a discrepar de las razones tenidas en consideración para inadmitir el recurso de casación, asimilando el incidente de nulidad a un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tales vulneraciones tienen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nuevo criterio jurisprudencial violenta el tenor de la norma legal, concretamente el art. 89.1 LJCA, pues exige cumplimentar, en el escrito de preparación del recurso de casación, un requisito que solamente está previsto para la interposición del recurso citado. Por tanto, la interpretación efectuada por el Tribunal Supremo, acerca de los requisitos de forma que deben cumplimentarse en el escrito de preparación, es irrazonable y atenta contra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cambio de criterio jurisprudencial no está debidamente motivado, pues en las resoluciones combatidas no se explican las razones que han llevado al Tribunal Supremo a cambiar su doctrina. Además, dicho órgano no ha reflejado el cambio de criterio a través de un acuerdo no jurisdiccional, figura regulada en el art. 246 de la Ley Orgánica del Poder Judicial (LOPJ), lo cual ha dificultado seriamente las posibilidades de conocer las nuevas pautas jurisprudenciales, en el momento de preparar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Supremo no ha tenido en cuenta que, tanto la admisión del escrito de preparación por la Sala de lo Contencioso-Administrativo de la Audiencia Nacional, como la subsiguiente interposición del recurso de casación, han sanado las eventuales deficiencias del referido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presente caso se ha producido una modificación irreflexiva y arbitraria de un criterio jurisprudencial consolidado, que es contraria al principio de igualdad (art. 14 CE). Además, el criterio asentado por el ATS de 10 de febrero de 2011 no ha sido aplicado de manera unánime por el Tribunal Supremo; y así en el AATS de 10 de febrero de 2011 (recurso 2706-2010) y 17 de marzo de 2011 (recurso 3163-2010) y en las SSTS de 7 de julio de 2011 (recurso 6230-2006) y 27 de septiembre de 2011(recurso 6059-2009) se continuó aplicando la doctrina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18 de septiembre de 2013, el Magistrado de este Tribunal don Juan José González Rivas solicitó se le tuviera por abstenido en el presente recurso, dada la concurrencia de la causa de abstención prevista en el art. 219.11 LOPJ, de aplicación supletoria conforme a lo establecido en el art. 80 de la Ley Orgánica del Tribunal Constitucional (LOTC), habida cuenta de que formó parte de la Sección Primera de la Sala Tercera del Tribunal Supremo, órgano este que dictó el Auto de inadmisión de 10 de mayo de 2012, del que trae causa el presente recurso de amparo. Por Auto de fecha 19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 6176-2011 y al recurso núm. 180-2010,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28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21 de noviembre de 2013, se tuvo por personado y parte al Abogado del Estado, en representación de la Administración del Estado.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día 18 de diciembre de 2013. En síntesis, considera que, a la luz de la doctrina constitucional, el Auto de inadmisión combatido en amparo vulnera el derecho al acceso a los recursos que garantiza el art. 24.1 CE. Para el Abogado del Estado el auténtico problema constitucional que la demanda suscita radica en la aplicación retrospectiva de las nuevas máximas jurisprudenciales plasmadas en el ATS de 10 de febrero de 2011, que la demandante razonablemente no podía conocer cuando preparó el recurso de casación. En el presente caso, la inadmisión del recurso de casación se sustenta, precisamente, en que no se preparó conforme a las referidas máximas, lo que comporta imponer retroactivamente un novedoso régimen procesal desfavorable a la realización de un acto procesal totalmente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26 de diciembre del 2013, el Ayuntamiento de Málaga formuló sus alegaciones. En esencia, dicha entidad se remite a lo ya manifestado en el escrito de demanda, reiterando las pretensiones interesadas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15 de enero del 2014. Descarta la vulneración del art. 14 CE., ya que el Ayuntamiento demandante no ha aportado un término valido de comparación, dado que ninguna de las resoluciones que cita ha sido dictada en recursos de casación interpuestos contra Sentencias de la Sala de lo Contencioso-Administrativo de la Audiencia Nacional, sino contra Sentencias dictadas por los Tribunales Superiores de Justicia. Por otro lado, las dos Sentencias que el demandante aporta como tertium comparationis no han sido dictadas por la Sección Primera de la Sala Tercera del Tribunal Supremo, sino por las Secciones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pretendida vulneración del art. 24.1 CE, pues entiende que la argumentación ofrecida para inadmitir el recurso de casación no incurre en arbitrariedad, falta de razonabilidad o error patente. A mayor abundamiento, añade que el criterio mantenido por el órgano judicial en relación con los requisitos del escrito de preparación del recurso de casación, esto es, la obligación de indicar las concretas infracciones normativas o jurisprudenciales, se desprende del propio tenor de los apartados c) y d) del art. 88 LJCA. Por ello, concluye que el requisito cuyo incumplimiento ha determinado la inadmisión del referido recurso no viene impuesto por la jurisprudencia, sino por la propia normativa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afirma que cuando la parte demandante formuló el escrito de preparación del recurso de casación —el día 23 de septiembre de 2011— ya estaba vigente la nueva doctrina jurisprudencial iniciada con el ATS 2371/2011, de 10 de febrero; por tanto, nada de extraño tiene que el recurso de casación se inadmitiera en aplicación del criterio establecido en el auto objeto de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4 de noviembre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12 de mayo del 2012, del que trae causa el presente recurso de amparo. Por Auto de fecha 6 de noviembre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17 de marzo de 2015, el Pleno, en su reunión de esa fecha y conforme establece el artículo 10.1 n) de la Ley Orgánica del Tribunal Constitucional, a propuesta de la Sala Segunda, acuerda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28 de abril de 2015 se señaló para deliberación y fallo de la Sentencia el día 30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10 de mayo del 2012, que acordó no admitir a trámite el recurso de casación interpuesto contra la Sentencia de la Sala de lo Contencioso-Administrativo de la Audiencia Nacional (Sección Octava) de 1 de septiembre de 2011, recaída en el procedimiento ordinario núm. 180-2010. También impugna la providencia mediante la que se inadmitió a trámite el incidente de nulidad de actuaciones, de fecha 10 de septiembre de 2012,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según se expresa con más detalle en los antecedentes de hecho de esta resolución, imputa a las resoluciones recurridas: (i) la vulneración de su derecho a la tutela judicial efectiva (art. 24.1 CE), en su vertiente de acceso a los recursos, porque la inadmisión acordada por el Auto impugnado se funda en un requisito de admisibilidad no exigido por la ley; (ii) la vulneración de su derecho a la tutela judicial efectiva (art. 24.1 CE), en su vertiente de acceso al recurso, dada la falta de explicación, por parte del Tribunal Supremo, sobre las razones determinantes del cambio de criterio jurisprudencial; la dificultad de conocer, en el momento de la preparación del recurso de casación, las nuevas pautas estatuidas por el Tribunal Supremo; y porque este órgano judicial no tuvo en cuenta que los eventuales defectos de forma del escrito de preparación quedaron sanados tras la admisión del escrito de preparación y la ulterior interposición del recurso de casación; (iii) la vulneración de su derecho a la igualdad en la aplicación judicial de la ley (art.14 CE), pues entiende que se ha producido una modificación irreflexiva y arbitraria de un criterio jurisprudencial consolidado, que además no se ha mantenido invariablemente en resoluciones posteriores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en esencia,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breve exposición de la concurrencia de los requisitos de forma exigidos”), alcanzando la conclusión de que uno de esos requisitos ha de ser la cita, siquiera sucinta, de las normas y la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acuerdo con el criterio mantenido por el Ministerio Fiscal, la parte demandante tampoco ha aportado un tertium comparationis adecuado para sustentar la vulneración del principio de igualdad en la aplicación de la ley, pues ni las resoluciones que se citan en la demanda de amparo vienen referidas a supuestos de hecho equiparables al presente caso, ni tampoco han sido dictadas por la Sección Primera de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Ayuntamiento de Málaga.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