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Santiago Martínez-Vares García, don Juan Antonio Xiol Ríos, don Pedro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5985-2012, promovido por el Ayuntamiento de Málaga, representada por el Procurador de los Tribunales don Vicente Ruigómez Muriedas y asistida por el Abogado don Sergio Verdier Hernández, contra el Auto de la Sección Primera de la Sala de lo Contencioso-Administrativo del Tribunal Supremo, de fecha 10 de mayo de 2012, que resolvió la inadmisión del recurso de casación núm. 6176-2011, interpuesto por la entidad demandante, y contra la providencia, de fecha 10 de septiembre del 2012, que inadmitió el incidente de nulidad de actuaciones interpuesto contra la resolución precedente. Ha comparecido el Abogado del Estado, en la representación que ostenta, y ha intervenido el Ministerio Fiscal.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octubre del 2012 tuvo entrada en el Registro General de este Tribunal el escrito presentado por el Procurador de los Tribunales don Vicente Ruigómez Muriedas, actuando en nombre y representación del Ayuntamiento de Málaga y bajo la dirección letrada del Abogado don Sergio Verdier Hernández, mediante el cual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Málaga interpuso recurso contencioso-administrativo contra el acuerdo del Consejo de la Comisión del Mercado de las Telecomunicaciones, de fecha 18 de febrero de 2010, en cuya virtud le fue impuesta una sanción de 300.000 €, se le intimó a realizar la notificación fehaciente prevista en el art. 6.2 de la Ley general de telecomunicaciones, y a que abonase el importe de la tasa general de operadores prevista en el art. 56.2 de la referida Ley, y contra el acuerdo del indicado Consejo, de fecha 13 de mayo de 2011, que resolvió la inscribir de oficio al mencionado Ayuntamiento en el registro de operadores de redes y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180-2010, la Sala de lo Contencioso-Administrativo de la Audiencia Nacional (Sección Octava) dictó, en fecha 1 de septiembre de 2011, Sentencia desestimatoria de las pretensiones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día 23 de septiembre de 2011, el Ayuntamiento de Málaga formuló escrito de preparación del recurso de casación contra la Sentencia recaída en la instancia. En dicho escrito puso de manifiesto la intención de interponer recurso de casación y, a su vez, indicó que el recurso iba a fundarse en los motivos previstos en los arts. 88.1 c) y 88.1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fecha 29 de noviembre de 2011, la Sala de lo Contencioso-Administrativo de la Audiencia Nacional tuvo por preparado el recurso de casación. Asimismo, dicho órgano acordó emplazar al recurrente para que compareciera ante la Sala Tercera del Tribunal Supremo. Una vez recibidas las actuaciones por el órgano ad quem, el día 16 de enero del 2012 la actora interpuso el recurso de casación ante la Sala Tercera del Tribunal Supremo. El recurso de casación fue registrado con el núm. 6176-2011.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23 de febrero de 2012, la Sala Tercera del Tribunal Supremo confirió traslado a las partes, a fin que formularan alegaciones sobre la posible concurrencia de la causa de inadmisión, consistente en no haber citado en el escrito de preparación las infracciones normativas o jurisprudenciales que iban a desarrollarse en el escrito de interposición (arts. 88.1 y 89.1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marzo de 2012 la entidad demandante evacuó el traslado conferido, interesando la admisión a trámite del recurso de casación. En síntesis, consideró que el Tribunal Supremo no había resuelto definitivamente sobre sí es preceptivo indicar, en el escrito de preparación del recurso de casación, las concretas infracciones normativas o jurisprudenciales en que se pretenda sustentar el recurso; que, en cualquier caso, el Tribunal a quo ha sanado esa eventual deficiencia, al considerar debidamente preparado el recurso; que el recurso de casación se interpuso con anterioridad a que el Tribunal Supremo advirtiera el posible defecto habido en el escrito de preparación, de manera que igualmente habría quedado subsanada la omisión inicial; y, por último, que en la fecha en que se preparó el recurso de casación aún no se habían publicado, en las bases de datos de uso habitual, aquellas resoluciones que recogían el cambio de criterio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10 de mayo de 2012, la Sala Tercera del Tribunal Supremo (Sección Primera) acordó la inadmisión del recurso de casación. La Sala se remitió a la doctrina establecida en ATS de 10 de febrero de 2011 y concluyó que no habiéndose citado, en el escrito de preparación del recurso formalizado por la sociedad recurrente, las infracciones normativas o jurisprudenciales que iban a desarrollarse en el escrito de interposición, procedía la inadmisión del recurso de casación. Por otro lado, la Sala consideró de aplicación lo que la doctrina constitucional ha calificado como “mínimo efecto retroactivo”, de manera que el nuevo criterio jurisprudencial resulta extensible a todo supuesto o situación jurídica que tenga ante sí para resolver, con independencia del momento temporal en que se interpuso el recurso. Finalmente, el órgano judicial citado entendió que el defecto advertido en el escrito de preparación no puede ser sanado por actuaciones procesales posteriores, habida cuenta de que, conforme establece el art. 93. 2 a) LJCA, la inadmisión del recurso deviene imperativa cuando no se han cumplimentado los requisitos del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19 de junio de 2012, el Ayuntamiento de Málaga promovió incidente de nulidad de actuaciones en el que, con una extensa argumentación, alegó la vulneración del derecho a la igualdad en la aplicación judicial de la ley (art. 14 CE) y del derecho a la tutela judicial efectiva en su vertiente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10 de septiembre de 2012 fue inadmitido el incidente de nulidad de actuaciones promovido contra el Auto de inadmisión del recurso de casación. En esencia, el órgano judicial considera que la demandante se limita a discrepar de las razones tenidas en consideración para inadmitir el recurso de casación, asimilando el incidente de nulidad a un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igualdad en la aplicación judicial de la ley (art 14 CE) y del derecho a la tutela judicial efectiva sin indefensión, en su vertiente del acceso a los recursos (art. 24.1 CE). En síntesis, tales vulneraciones tienen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nuevo criterio jurisprudencial violenta el tenor de la norma legal, concretamente el art. 89.1 LJCA, pues exige cumplimentar, en el escrito de preparación del recurso de casación, un requisito que solamente está previsto para la interposición del recurso citado. Por tanto, la interpretación efectuada por el Tribunal Supremo, acerca de los requisitos de forma que deben cumplimentarse en el escrito de preparación, es irrazonable y atenta contra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cambio de criterio jurisprudencial no está debidamente motivado, pues en las resoluciones combatidas no se explican las razones que han llevado al Tribunal Supremo a cambiar su doctrina. Además, dicho órgano no ha reflejado el cambio de criterio a través de un acuerdo no jurisdiccional, figura regulada en el art. 246 de la Ley Orgánica del Poder Judicial (LOPJ), lo cual ha dificultado seriamente las posibilidades de conocer las nuevas pautas jurisprudenciales, en el momento de preparar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Supremo no ha tenido en cuenta que, tanto la admisión del escrito de preparación por la Sala de lo Contencioso-Administrativo de la Audiencia Nacional, como la subsiguiente interposición del recurso de casación, han sanado las eventuales deficiencias del referido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presente caso se ha producido una modificación irreflexiva y arbitraria de un criterio jurisprudencial consolidado, que es contraria al principio de igualdad (art. 14 CE). Además, el criterio asentado por el ATS de 10 de febrero de 2011 no ha sido aplicado de manera unánime por el Tribunal Supremo; y así en el AATS de 10 de febrero de 2011 (recurso 2706-2010) y 17 de marzo de 2011 (recurso 3163-2010) y en las SSTS de 7 de julio de 2011 (recurso 6230-2006) y 27 de septiembre de 2011(recurso 6059-2009) se continuó aplicando la doctrina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18 de septiembre de 2013, el Magistrado de este Tribunal don Juan José González Rivas solicitó se le tuviera por abstenido en el presente recurso, dada la concurrencia de la causa de abstención prevista en el art. 219.11 LOPJ, de aplicación supletoria conforme a lo establecido en el art. 80 de la Ley Orgánica del Tribunal Constitucional (LOTC), habida cuenta de que formó parte de la Sección Primera de la Sala Tercera del Tribunal Supremo, órgano este que dictó el Auto de inadmisión de 10 de mayo de 2012, del que trae causa el presente recurso de amparo. Por Auto de fecha 19 de septiembre de 2013, la Sección Tercera de este Tribunal resolvió estimar justificada la causa de abstención invocada, apartando definitivamente del conocimiento del presente recurso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2013, la Sala Segunda del Tribunal Constitucional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 6176-2011 y al recurso núm. 180-2010,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28 de octubre de 2013, el Abogado del Estado, en la representación que le es propia,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21 de noviembre de 2013, se tuvo por personado y parte al Abogado del Estado, en representación de la Administración del Estado. A tenor de lo dispuesto en el art. 52.1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día 18 de diciembre de 2013. En síntesis, considera que, a la luz de la doctrina constitucional, el Auto de inadmisión combatido en amparo vulnera el derecho al acceso a los recursos que garantiza el art. 24.1 CE. Para el Abogado del Estado el auténtico problema constitucional que la demanda suscita radica en la aplicación retrospectiva de las nuevas máximas jurisprudenciales plasmadas en el ATS de 10 de febrero de 2011, que la demandante razonablemente no podía conocer cuando preparó el recurso de casación. En el presente caso, la inadmisión del recurso de casación se sustenta, precisamente, en que no se preparó conforme a las referidas máximas, lo que comporta imponer retroactivamente un novedoso régimen procesal desfavorable a la realización de un acto procesal totalmente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interesa que se dicte Sentencia cuya doctrina refleje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26 de diciembre del 2013, el Ayuntamiento de Málaga formuló sus alegaciones. En esencia, dicha entidad se remite a lo ya manifestado en el escrito de demanda, reiterando las pretensiones interesadas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15 de enero del 2014. Descarta la vulneración del art. 14 CE., ya que el Ayuntamiento demandante no ha aportado un término valido de comparación, dado que ninguna de las resoluciones que cita ha sido dictada en recursos de casación interpuestos contra Sentencias de la Sala de lo Contencioso-Administrativo de la Audiencia Nacional, sino contra Sentencias dictadas por los Tribunales Superiores de Justicia. Por otro lado, las dos Sentencias que el demandante aporta como tertium comparationis no han sido dictadas por la Sección Primera de la Sala Tercera del Tribunal Supremo, sino por las Secciones Segunda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 pretendida vulneración del art. 24.1 CE, pues entiende que la argumentación ofrecida para inadmitir el recurso de casación no incurre en arbitrariedad, falta de razonabilidad o error patente. A mayor abundamiento, añade que el criterio mantenido por el órgano judicial en relación con los requisitos del escrito de preparación del recurso de casación, esto es, la obligación de indicar las concretas infracciones normativas o jurisprudenciales, se desprende del propio tenor de los apartados c) y d) del art. 88 LJCA. Por ello, concluye que el requisito cuyo incumplimiento ha determinado la inadmisión del referido recurso no viene impuesto por la jurisprudencia, sino por la propia normativa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afirma que cuando la parte demandante formuló el escrito de preparación del recurso de casación —el día 23 de septiembre de 2011— ya estaba vigente la nueva doctrina jurisprudencial iniciada con el ATS 2371/2011, de 10 de febrero; por tanto, nada de extraño tiene que el recurso de casación se inadmitiera en aplicación del criterio establecido en el auto objeto de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4 de noviembre de 2014, el Magistrado de este Tribunal don Ricardo Enríquez Sancho solicitó se le tuviera por abstenido en el presente recurso, dada la concurrencia de la causa de abstención prevista en el art. 219.11 LOPJ, de aplicación supletoria conforme a lo establecido en el art. 80 LOTC, habida cuenta de que, a la sazón, formó parte de la Sección Primera de la Sala Tercera del Tribunal Supremo, órgano este que dictó el Auto de inadmisión de 12 de mayo del 2012, del que trae causa el presente recurso de amparo. Por Auto de fecha 6 de noviembre de 2014, la Sala Segunda de este Tribunal resolvió estimar justificada la causa de abstención invocada, apartando definitivamente del conocimiento del presente recurso y de todas sus incidencias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17 de marzo de 2015, el Pleno, en su reunión de esa fecha y conforme establece el artículo 10.1 n) de la Ley Orgánica del Tribunal Constitucional, a propuesta de la Sala Segunda, acuerda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28 de abril de 2015 se señaló para deliberación y fallo de la Sentencia el día 30 del citado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10 de mayo del 2012, que acordó no admitir a trámite el recurso de casación interpuesto contra la Sentencia de la Sala de lo Contencioso-Administrativo de la Audiencia Nacional (Sección Octava) de 1 de septiembre de 2011, recaída en el procedimiento ordinario núm. 180-2010. También impugna la providencia mediante la que se inadmitió a trámite el incidente de nulidad de actuaciones, de fecha 10 de septiembre de 2012,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según se expresa con más detalle en los antecedentes de hecho de esta resolución, imputa a las resoluciones recurridas: (i) la vulneración de su derecho a la tutela judicial efectiva (art. 24.1 CE), en su vertiente de acceso a los recursos, porque la inadmisión acordada por el Auto impugnado se funda en un requisito de admisibilidad no exigido por la ley; (ii) la vulneración de su derecho a la tutela judicial efectiva (art. 24.1 CE), en su vertiente de acceso al recurso, dada la falta de explicación, por parte del Tribunal Supremo, sobre las razones determinantes del cambio de criterio jurisprudencial; la dificultad de conocer, en el momento de la preparación del recurso de casación, las nuevas pautas estatuidas por el Tribunal Supremo; y porque este órgano judicial no tuvo en cuenta que los eventuales defectos de forma del escrito de preparación quedaron sanados tras la admisión del escrito de preparación y la ulterior interposición del recurso de casación; (iii) la vulneración de su derecho a la igualdad en la aplicación judicial de la ley (art.14 CE), pues entiende que se ha producido una modificación irreflexiva y arbitraria de un criterio jurisprudencial consolidado, que además no se ha mantenido invariablemente en resoluciones posteriores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en esencia,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noviembre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breve exposición de la concurrencia de los requisitos de forma exigidos”), alcanzando la conclusión de que uno de esos requisitos ha de ser la cita, siquiera sucinta, de las normas y la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persona del recurrente—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 acuerdo con el criterio mantenido por el Ministerio Fiscal, la parte demandante tampoco ha aportado un tertium comparationis adecuado para sustentar la vulneración del principio de igualdad en la aplicación de la ley, pues ni las resoluciones que se citan en la demanda de amparo vienen referidas a supuestos de hecho equiparables al presente caso, ni tampoco han sido dictadas por la Sección Primera de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Ayuntamiento de Málaga.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