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12 de diciembre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151/2017, de 14 de noviembre, se acordó: i) dejar sin efecto la multa coercitiva impuesta y la deducción de testimonio acordada respecto de doña María Carme Vilanova Ramón, al no apreciarse el incumplimiento de las resoluciones dictadas por este Tribunal; ii) levantar la multa coercitiva impuesta a don Marc Marsal i Ferret, don Jordi Matas i Dalmases, doña Marta Alsina i Conesa, doña Tania Verge i Mestre, don Josep Pagés Masso, don Josep Costa i Roselló y doña Eva Labarta i Ferrer, miembros de la sindicatura electoral de Cataluña, y a don Vicens Bitriá Águila, don Armand Simon Llanes, don Roc Fuentes i Navarro, doña Susana Romero Soriano, don Antoni Fitó i Baucells, don Jordi Casadevall Fusté, don Josep María Llistosella i Vila, don Jordi Díaz Comas, doña Mariona Lladonosa Latorre, don Alexandre Sárraga Gómez, don Simeó Miquel Roé, don Xavier Faura i Sanmartin, doña Montserrat Aumatell i Arnau, doña Marta Cassany i Virgili, al haber justificado el cumplimiento de las obligaciones impuestas en el ATC 126/2017, de 20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el registro general de este Tribunal el día 17 de noviembre de 2017, por don Francisco de Asís Moreno Ponce, Procurador de los Tribunales, actuando en nombre y representación de don Jordi Matas i Dalmases, doña Marta Alsina i Conesa, doña Tania Verge i Mestre , don Josep Pagés Massó, doña Eva Labarta i Ferrer, don Marc Marsal i Ferret, don Josep Costa i Roselló, don Vicens Bitrià Águila, don Armand Simon Llanes, don Roc Fuentes i Navarro, doña Susana Romero Soriano, don Antoni Fitó i Baucells, don Jordi Casadevall Fusté, don Josep Maria LListosella i Vila, doña	 Mariona Lladonosa Latorre, don Alexandre de Sàrraga Gómez, don Simeó Miquel i Roé, don Xavier Faura i Sanmartin, y doña Marta Cassany i Virgili, con la asistencia Letrada de don Ramón Estebe i Blanc, solicitan que se dicte resolución aclarando el Auto 151/2017, en el sentido de añadir en la parte dispositiva el pronunciamiento de que se desestima expresamente el recurso de súplica y nulidad de actuaciones presentado por esta representación en su día, “tal y como recoge en la propia resolución”. Al mismo tiempo, solicita que se entregue copia de los documentos que constan en el presente procedimiento núm. 4332-2017 y que se detallan en el mencionado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Exponen, como sustento de su petición de aclaración, que en el Auto de 14 de noviembre de 2017 se trata el recurso de súplica y nulidad de actuaciones interpuesto como meras alegaciones ante las multas impuestas, como si se tratara de la audiencia prevista en el artículo 92.5 de la Ley Orgánica del Tribunal Constitucional LOTC, cuando son cosas distintas y procedimientos procesales también distintos. Afirman que a lo largo del Auto se van desestimando los motivos del recurso, tanto por lo que se refiere a la nulidad de actuaciones como a la súplica propiamente dicha, y, sin embargo el recurso de súplica y la nulidad de actuaciones, que se tienen por presentados en el Auto, no son desestimados expresamente en la parte dispositiva de dicha resolución. Consideran que no es lo mismo formular alegaciones para que se levanten las multas (art. 92.5 LOTC) que solicitar la nulidad de lo actuado o que se dicte nueva resolución dejando sin efecto las multas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indican que si se tuvo por presentado el recurso de súplica y nulidad de actuaciones, lo lógico es que se subsane la omisión padecida, y, se desestime expresamente en la parte dispositiva de la resolución en base a los fundamentos jurídicos que constan en el propio Auto.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artículo 93 de la Ley Orgánica del Tribunal Constitucional (LOTC) se refiere únicamente a la aclaración de sentencias, y no de autos y providencias, contra las cuales, dice el apartado segundo del precepto, “solo procederá, en su caso, el recurso de súplica”, la posibilidad de aclarar estas resoluciones ha sido admitida por este Tribunal acudiendo al régimen general de los artículos 267 de la Ley Orgánica del Poder Judicial y 214 de la Ley de enjuiciamiento civil que invoca el solicitante de la aclaración en su escrito (así, por ejemplo, AATC 110/2002, de 18 de junio, 209/2002, de 28 de octubre, y 106/2010, de 6 de septiembre). Ahora bien, como también hemos reiterado en multitud de ocasiones, el objeto de la solicitud de aclaración es, exclusivamente, la “corrección de errores materiales manifiestos o errores aritméticos, a la aclaración de algún concepto oscuro, a suplir cualquier omisión o a la rectificación de alguna contradicción manifiesta que se evidencie del propio texto de la [resolución], sin necesidad de nuevas deducciones o interpretaciones” (por todos, ATC 133/2017, de 3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los términos expuestos, no procede la aclaración solicitada. Los solicitantes no ponen de manifiesto la existencia de ningún concepto oscuro que deba ser aclarado, sino que por el contrario, reconocen que el Auto ha desestimado todos los motivos del recurso de súplica, tanto por lo que se refiere a la nulidad de actuaciones como a la súplica propiamente dicha. Admiten con ello que los términos del ATC 151/2017, de 14 de noviembre, no precisan aclaración alguna: en él se resuelven —desestimándolas, como reconocen los solicitantes—, por una parte las alegaciones que cuestionaban la concurrencia de los presupuestos de imposición de las multas coercitivas, la tramitación procedimental y la forma en que se publicó el Auto por el que se les impuso las multas; y por otra, se acuerda el levantamiento de la multa coercitiva, atendiendo a las alegaciones relativas al cumplimiento de las obligaciones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los solicitantes de aclaración ponen de manifiesto que son conocedores de la desestimación del recurso de súplica y del incidente de nulidad conjuntamente interpuesto y este Tribunal no aprecia en el ATC 151/2017, ningún concepto oscuro que deba ser aclarado. La intención de los solicitantes de interponer una demanda ante el Tribunal Europeo de Derechos Humanos, a la que aluden en su escrito, no justifica la aclaración pretendida, pues hemos dicho que cuando los términos de las resoluciones son claros e inequívocos, es ahí donde ha de encontrarse la aclaración de las dudas (AATC 25/1990, de 16 de enero, FJ 2, y 66/2013, de 12 de marzo,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conforme solicitan en su escrito, se acuerda la entrega de copia de los documentos que constan en el presente incidente.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haber lugar a la aclaración solicitada.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Entréguese la copia de los documentos que constan en el presente incidente.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