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79</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 de julio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Alfredo Montoya Melgar, don Ricardo Enríquez Sancho y don Cándido Conde-Pumpido Tourón,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500-2019, promovido a instancia de doña Pilar Prado Torres, representada por el procurador de los tribunales don Manuel María Martínez de Lejarza Ureña y asistida por el letrado don Jesús Manuel Guzmán Ruiz, contra la sentencia de 5 de diciembre de 2018 de la Sala de lo Social del Tribunal Superior de Justicia de Andalucía, dictada en el recurso de suplicación núm. 1546-2018, y la sentencia de 10 de mayo de 2018, del Juzgado de lo Social núm. 6 de Málaga, recaída en los autos núm. 100-2018. Ha comparecido y efectuado alegaciones la agencia pública empresarial sanitaria Costa del Sol, representada por la procuradora de los tribunales doña Úrsula Cabezas Manjavacas y defendida por el letrado don Andrés Sedeño Ferrer. Ha intervenido el Ministerio Fiscal.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fecha 23 de enero de 2019 tuvo entrada en el registro general de este tribunal la demanda de amparo presentada por el procurador de los tribunales don Manuel María Martínez de Lejarza, en nombre y representación de doña Pilar Prados Torres, contra las resoluciones judiciales antes mencionadas por las que se desestimó su demanda frente a la agencia pública empresarial sanitaria Costa del Sol.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el presente recurso de amparo y que son recogidos en el relato de hechos probados de las resoluciones judiciales recurridas, sucintamente expuestos, son los que a continuación se indican: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Doña Pilar Prados Torres (en adelante, la recurrente) viene prestando servicios como médico del servicio de urgencias en el hospital Costa del Sol de Marbella (Málaga). La jornada anual ordinaria para los médicos de urgencias es de 1523 horas (siete horas al día), a lo que se unen 440 horas más en concepto de jornada anual complementaria, por realización de guardias (cuarenta y cuatro guardias de diez horas cada una de ellas). Estas guardias, que resultan obligatorias, generan un descanso en el día posterior —saliente de guardia— de veinticuatro horas, y de ellas, se computan como trabajadas siete horas por saliente. En las citadas 1523 horas anuales de jornada se encuentran incluidas no solo las horas realmente realizadas, sino también la que se reconocen como trabajadas por cada saliente (308 horas, a razón de siete horas por cuarenta y cuatro salientes).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de 29 de noviembre de 2017, la recurrente solicitó a la empresa una reducción de su jornada laboral para atender al cuidado de hijo en un 33 por 100, al amparo del art. 37.6 del texto refundido de la Ley del estatuto de los trabajadores y del art. 23 del convenio colectivo de la agencia pública empresarial sanitaria Costa del Sol. La reducción solicitada se aplicó en términos anuales, de tal forma que las horas trabajadas por cada jornada y cada guardia no sufrieron reducción alguna (siete y diez horas, respectivamente), sino que lo que se vio afectado fue el número total de días y guardias al año, pasando a ser treinta guardias y 1020,41 horas de jornada habitual al año (en lugar de las cuarenta y cuatro y 1523).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resolución del director gerente de la agencia pública empresarial sanitaria Costa del Sol, de 29 de diciembre de 2017, se le reconoció a la recurrente el derecho a la reducción de jornada en un 33 por 100 con efectos desde el 1 de enero de 2018, fijándose la jornada ordinaria reducida a realizar en 879,71 horas anuales. Habiéndose fijado una cantidad de horas superior a la calculada por la recurrente, presentó reclamación previa que fue desestimada mediante resolución de 16 de abril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Disconforme con el cálculo de la jornada reducida que había realizado su empleadora, la recurrente presentó demanda en materia de reducción de jornada a la que acumuló acción de daños y perjuicios, así como de tutela de derechos fundamentales y libertades públicas. En ella denunció la existencia de una desigualdad de trato entre trabajadores a tiempo completo y con jornada reducida debido al diferente modo en el que se computó el trabajo efectivo derivado de cada saliente de guardia al calcular la reducción de su jornada laboral. Si cada guardia de diez horas debía generar siete horas de descanso retribuido efectivo por saliente de guardia (lo que debía suponerle 210 horas por realizar treinta guardias), según los cálculos realizados por la empresa tan solo se le debían reconocer 140,7 horas. Tal diferencia se debía a que la empresa aplicaba también la reducción del 33 por 100 (esto es, el porcentaje de reducción de jornada solicitado) sobre el descanso retribuido por saliente de guardia. Se solicitó, en consecuencia, que se reconociese la infracción del art. 14 CE y que se aceptase la reducción en los términos interesados, sobre la base de que teniendo las guardias la misma duración, el descanso retribuido por saliente de guardia debía ser el mismo en situación de reducción de jornada. Además, reclamó una indemnización de 1000 € por cada jornada que la empresa le obligase a hacer de más, y otra de 6250 € en concepto de daños por la lesión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demanda fue desestimada mediante sentencia del Juzgado de lo Social núm. 6 de Málaga, de 10 de mayo de 2018, que descartó que se hubiese producido un error en el cálculo efectuado por la empresa en la determinación del número de horas anuales que debía prestar servicios la actora atendiendo a la reducción de la jornada en un 33 por 100. En tal sentido, se señaló que las guardias se le redujeron de cuarenta y cuatro a treinta, y que las horas de “saliente de guardia” se disfrutaban e imputaban dentro de la jornada ordinaria, por lo que a esta última (1523 horas) se habían de restar, como así hizo la empresa, las 210 horas de “salientes de guardia” (ya reducida), lo cual daba un resultado de 1313 horas, cantidad sobre la que debía aplicarse después la reducción de jornada del 33 por 100. En suma, el juzgado concluyó que la jornada anual de la actora, una vez reducida en tal porcentaje, era de 879,71 horas, tal y como había calculado la demandada. No apreciándose error en los cálculos, se negó la existencia de la discriminación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recurrente presentó dos escritos solicitando la aclaración y complemento de la sentencia del juzgado al amparo del art. 267 Ley Orgánica del Poder Judicial (LOPJ) con relación a dos extremos, a saber, de un lado, la existencia de un error en la fundamentación, al afirmarse que la actora no había alegado en su demanda la existencia de una condición más beneficiosa; y, de otro lado, la falta de pronunciamiento sobre una de las peticiones declarativas de derechos realizadas en la demanda. Se accedió a la primera aclaración mediante auto del juzgado, de 21 de mayo de 2018, que procedió a la subsanación del error advertido en la fundamentación de la sentencia, siendo desestimada la otra petición de complemento de la sentencia por medio de auto de 17 de mayo de 2018, por incompatibilidad de la petición con el objeto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Frente a la citada sentencia la recurrente formuló recurso de suplicación, que fue desestimado mediante sentencia de la Sala de lo Social del Tribunal Superior de Justicia de Andalucía, sede de Málaga, de 5 de diciembre de 2018, que confirmó lo decidido en la instancia al considerar que el cálculo realizado por la demandada era correcto ya que procedía aplicar la reducción del 33 por 100 no solo a la jornada ordinaria sino también a las horas de trabajo efectivo reconocidas por saliente de guardia. En consecuencia, se negó la infracción del art. 14 CE y se rechazó el derecho a la indemnización reclamada por lesión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recurrente presentó escrito al amparo del art. 267.5 LOPJ quejándose de que se había procedido a convalidar el cómputo realizado por la administración demandada sin llegar a analizarse el fondo del recurso, esto es, la discriminación que suponía la aplicación de dicho cómputo en relación con los demás trabajadores. Se indicó, en tal sentido, que eran seis los argumentos de esa parte para sustentar la discriminación y que no se había contestado a ninguno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medio de auto de 13 de diciembre de 2018 se desestimó la solicitud de complemento de sentencia al no compartir la Sala la valoración realizada por la parte actora. Se subrayó que en la sentencia cuestionada se había considerado por la Sala que el cálculo realizado por la demandada, utilizando un parámetro distinto al de la actora, era correcto y desmontaba la supuesta discriminación alegada. Y que, de no estar de acuerdo la parte con la argumentación ofrecida al respecto, podía acudir al recurso de casación para la unificación de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frente a la sentencia de 5 de diciembre de 2018 de la Sala de lo Social del Tribunal Superior de Justicia de Andalucía (recurso núm. 1546-2018) y la sentencia de 10 de mayo de 2018, del Juzgado de lo Social núm. 6 de Málaga (autos núm. 100-2018) por vulneración del derecho a la igualdad y no discriminación (art. 14 CE) como consecuencia del ejercicio del derecho a la reducción de jornada por cuidado de hijos. Afirma la parte recurrente que al calcular la empresa la reducción de la jornada solicitada realiza un cómputo de los salientes de guardia que quebranta el referido derecho fundamental, ya que por un mismo trabajo (guardias obligatorias de diez horas) las trabajadoras con jornada reducida obtienen un menor tiempo de descanso retribuido.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recuerda después cuál es, al amparo del convenio colectivo aplicable, la jornada laboral del resto de trabajadores que comparten con la recurrente (médico de urgencias en el hospital Costa del Sol de Marbella) el mismo centro de trabajo, condiciones y categoría. Aclara que cuando se realiza la jornada de forma completa se trabajan 1523 horas ordinarias, a lo que hay que añadir una jornada complementaria obligatoria consistente en cuarenta y cuatro guardias anuales de diez horas cada una durante el turno de noche. Cada guardia genera el descanso de las veinticuatro horas siguientes (saliente de guardia) en el día posterior al que se realiza la guardia, así como el reconocimiento de siete horas como efectivamente trabajadas. Esas siete horas de saliente de guardia son horas que están incluidas en las 1523 horas de la jornada sin guardias.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que antecede, precisa la recurrente que la reducción de jornada se realiza de forma anual y no en cómputo diario, de forma que no se reducen las jornadas ni las guardias, sino que se le asigna a la trabajadora un número menor de unas y otras, proporcional a la reducción solicitada. Es decir, la jornada sigue siendo de siete horas cada una y cada guardia mantiene su duración de 10 horas. De este modo, si un trabajador solicita reducción de jornada, por ejemplo, al 67 por 100, la empresa le exige realizar el 67 por 100 de las 1523 horas, más el 67 por 100 de las jornadas complementarias (guardias). Si bien todos los trabajadores que hacen guardias de diez horas (como la actora) y que no tienen reducción de jornada tienen derecho a descansar en las veinticuatro horas siguientes (saliente de guardia) siendo retribuidas siete horas por cada saliente, en su caso, a pesar de trabajar el mismo número de horas por cada guardia que cualquier otro trabajador (diez horas), no se le reconocen las siete horas de descanso retribuido ligadas a cada saliente, sino tan solo 4,69 horas al aplicar la empresa también la reducción de jornada solicitada (33 por 100) a tales horas de saliente. Se produce, por consiguiente, una evidente y flagrante discriminación derivada de la situación de reducción de jornada para la conciliación familiar, que, además, afecta especialmente a las mujeres ya que porcentualmente son el colectivo que en mayor número solicita tal reducción, aunque la norma no haga distinción y sea un derecho que también corresponde a los hombres.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la recurrente compara el distinto modo en el que cada una de las partes computan los salientes de guardia, por cuanto que sobre los hechos no existe discrepancia alguna entre ellas. Según los cálculos realizados por la actora, al aplicar la reducción del 33 por 100 solicitada, la jornada a realizar es de 810,41 horas. A resultas de aplicar el referido porcentaje a la jornada ordinaria y al número de guardias, se obtienen las cifras de 1020,41 horas ordinarias de trabajo y treinta guardias. Dado que cada guardia (de diez horas) le genera siete horas de descanso retribuido al trabajador, las treinta guardias le suponen un total de 210 horas de descanso retribuido, cantidad que se debe restar de la jornada a realizar (1020,41 menos 210 horas), dando como resultado la jornada antes señalada de 810,41 horas. A esa jornada habría que añadir la jornada complementaria (por guardias) que ascendería a 300 horas más (al tener que realizar trreinta guardias de diez horas). Los cálculos de la empresa arrojan una jornada más elevada, a saber, de 879,71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diferencia estriba, como se ha dicho, en el modo en el que se calculan los salientes de guardia. Las treinta guardias no generarían, a juicio de la empresa, 210 horas de descanso retribuido sino tan solo 140,7 horas, al aplicar la reducción del 33 por 100 sobre esas horas de saliente de guardia. Señala la recurrente que con tal cálculo, lo que hace la demandada es aplicarle una doble reducción desfavorable y que produce discriminación, en tanto que, primero reduce en un 33 por 100 el número de guardias a realizar (pasando de cuarenta y cuatro a treinta), para después proceder nuevamente a la reducción al aplicar sobre las 210 horas resultantes de cada saliente de guardia el 33 por 100. Ciertamente, según los cálculos de la demandada, a las 1523 horas ordinarias le resta 210 horas (treinta guardias por siete horas de descanso retribuido por guardia), y al resultado de esta operación (1313), que la empresa denomina horas disponibles, le aplica la reducción del 33 por 100, dando como resultado 879,71 horas. Con ello, los salientes de guardia no generarían 7 horas de trabajo efectivo por cada guardia de diez horas, tal y como se reconoce al resto de trabajadores, sino que en su caso tan solo supondrían 4,69 horas por guardia. En definitiva, de todo ello se puede deducir que por el mismo número de guardias (horas de trabajo en cada guardia) la trabajadora con reducción de jornada obtiene una compensación menor al tener que trabajar más que otros trabajadores (la diferencia está en sesenta y nueve horas anuales), añadiendo que los cálculos propuestos por la empresa resultan erróneos ya se calcule la reducción por días o anualmente. Se señala que el principal argumento de la demandada es que si tuviera la trabajadora la jornada reducida diaria, las horas que disfrutarían de saliente de guardia serían 4,69 horas por cada guardia, lo que es cierto, señala la recurrente, pero siempre que el cálculo se realice sobre cuarenta y cuatro guardias, y no sobre las guardias ya reducidas (treinta). De otro modo, se le aplica injustificadamente una doble reducción.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puntualiza la recurrente que la discriminación denunciada se produciría con relación al resto de los trabajadores a tiempo completo y a los trabajadores que no tienen que realizar guardias. Con referencia a los primeros, por cuanto que tendrían un mayor número de horas por saliente de guardia realizando las mismas horas de guardia que las trabajadoras con reducción de jornada. Indica la recurrente que resulta evidente que siendo la realización de las guardias obligatoria, y teniendo siempre la misma duración de diez horas, que el descanso remunerado sea de menos horas para un colectivo supone una evidente discriminación. Respecto de los segundos, señala que los únicos trabajadores que estando en reducción de jornada no tienen que realizar guardias son los que están en estado de gestación, tienen más de cincuenta y cinco años, o un hijo menor de un año. Estos trabajadores, al estar exentos de guardias trabajan 1523 horas o la parte proporcional de las mismas en función de su reducción de jornada.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 que antecede, considera la recurrente paradójico que cuanto más reducción de jornada se aplica, más perjudicado sale el trabajador en relación al cómputo de las horas de descanso por saliente de guardia. Y recuerda que si bien las trabajadoras con reducción de jornada perciben en su nómina la misma cuantía por las guardias realizadas (en el bien entendido que cobran treinta guardias en lugar de cuarenta y cuatro), la retribución globalmente considerada, sin embargo, varía al constar menos horas ordinarias de trabajo efectivo debido al cálculo que la empresa realiza de los salientes de guardia. Con ello, se viene a dificultar al trabajador tomar la decisión de reducir la jornada para cuidado de hijos, al reducirse también de forma claramente discriminatoria sus derechos laborales en relación con el resto de trabajadores. En otras palabras, por el mismo trabajo se les compensa con menor contraprestación a las trabajadoras que, como la recurrente, están en situación de reducción de jornada para el cuidado de hijos y tienen la obligación de realizar guardias. El amparo que se solicita de este Tribunal es, por consiguiente, que se exija a la empresa demandada que aplique de forma no discriminatoria el derecho a la reducción de jornada por cuidado familiar a los trabajadores que así lo solicitan en relación con el cómputo de horas que se convalidan como horas de trabajo efectivo en los salientes de guardia. De esta forma, si una hora de guardia de un trabajador a tiempo completo da lugar a 0,7 horas de saliente, no puede dar lugar a 0,49 horas a una persona con reducción de jornada. Solicita posteriormente que también se le indemnice por la cantidad señalada en la demanda como consecuencia de la lesión de su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octubre de 2019, la Sala Primera, Sección Segunda, de este tribunal, acordó la admisión a trámite del recurso de amparo, apreciando que “concurre en el mismo una especial trascendencia constitucional [art. 50.1 de la Ley Orgánica del Tribunal Constitucional (LOTC)] porque el recurso plantea un problema o una faceta de un derecho fundamental sobre el que no hay doctrina de este Tribunal [STC 155/2009, FJ 2 a)] y puede dar ocasión al Tribunal para aclarar o cambiar su doctrina como consecuencia de un proceso de reflexión interna [STC 155/2009, FJ 2, b)]”. Por ello, en aplicación de lo dispuesto en el art. 51 LOTC, acordó dirigir atenta comunicación a la Sala de lo Social del Tribunal Superior de Justicia de Andalucía, con sede en Málaga, a fin de que en el plazo que no excediese de diez días, remitiese certificación o fotocopia adverada de las actuaciones correspondientes, al recurso de suplicación núm. 1546-2018. Asimismo, acordó lo propio con relación al Juzgado de lo Social núm. 6 de Málaga a fin de que remitiese los autos núm. 100-2018 y emplazase a quienes hubiesen sido parte en el procedimiento, excepto a la recurrente en amparo, para que, en el plazo de diez días pudieran comparecer si lo deseaban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escrito que tuvo entrada el día 18 de noviembre de 2019 en el registro general de este Tribunal, la procuradora de los tribunales doña Úrsula Cabezas Manjavacas, en nombre y representación de la agencia pública empresarial sanitaria Costa del Sol, solicitó que se tuviera a esa parte como personada en el recurso de amparo y se entendieran con ella las sucesivas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Primera de este tribunal, de 22 de noviembre de 2019, se tuvo por personada y parte a la procuradora doña Úrsula Cabezas Manjavacas en nombre y representación de la agencia pública empresarial sanitaria Costa del Sol y, a tenor de lo dispuesto en el art. 52 LOTC, en la misma diligencia se acordó dar vista de todas las actuaciones recibidas a las partes personadas y al Ministerio Fiscal, por un plazo común de veinte días, para que dentro de dicho término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3 de enero de 2020, doña Úrsula Cabezas Manjavacas, en la representación que ostenta, presentó su escrito de alegaciones en el registro general de este Tribunal solicitando la desestimación del recurso de amparo. Comienza indicando que en la vía judicial se han planteado demandas sobre idéntica cuestión por otras trabajadoras del mismo centro de trabajo, y que todas, al igual que la recurrente en amparo, han obtenido pronunciamientos desestimatorios de la pretensión formulada en las dieciséis sentencias de los juzgados de lo social que se han ido dictando. Dicho esto, subraya que en el recurso de amparo la infracción constitucional se centra en la forma en que se ha realizado por la demandada el cómputo de la jornada de la trabajadora, y que lo que postula la parte actora es que se realice un cálculo distinto que le resulta más favorable a sus intereses. Tal cuestión no incidiría, sin embargo, en el ámbito de los derechos fundamentales desde el momento en que la discusión se centra en un cálculo matemático relativo a una distinta interpretación sobre el número de horas efectivas de trabajo y en donde la discrepancia principal, por lo tanto, se centraría en la forma de computar las horas generadas por saliente de guardia. En tal sentido, señala que para que existiera una incidencia en el derecho fundamental sería preciso que el acto empresarial hubiera tenido la intención de discriminar a la demandante o, que sin tenerla, hubiera incidido en la esencia del derecho fundamental. Tales circunstancias no se habrían producido, dado que ni el acto discutido resultaría arbitrario (al ser posibles varias interpretaciones para realizar el cálculo), ni de calificarse como erróneo habría afectado al derecho de la recurrente a solicitar la reducción de jornada y a no ser discriminada por ello, pues en ningún momento se le ha denegado tal derecho. Con base en ello, se afirma que la cuestión debatida en los autos resulta de mera legalidad ordinaria (forma en que debe computarse la reducción de jornada) y que lo que la actora está exigiendo es un derecho a la diferenciación, esto es, tener un trato distinto de los demás trabajadores por tener jornada reducida.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se reitera que no se discute el derecho a la reducción de jornada, que ha sido reconocido e incluso favorecido por la entidad demandada, sino que la discrepancia entre las partes gira en torno al cálculo de la jornada reducida y al impacto que ha de tener en él los descansos retribuidos por saliente de guardia. Mientras que la reducción del 33 por 100 según los cálculos empresariales da lugar a una jornada de 879,71 horas al año, en el cómputo de la trabajadora resulta solo de 810,41 horas. Se considera que el cálculo realizado por la recurrente es erróneo, pues la reducción del 33 por 100 ha de operar también sobre los salientes de guardia, pues, de otro modo, los parámetros del cálculo no resultarían homogéneos. Se subraya que la jornada diaria no es de 7 horas sino de 4,69 horas una vez aplicada la reducción, y que por cada saliente corresponde a la actora el cómputo como trabajo efectivo de 4,69 horas. Al reclamar siete horas por saliente, la trabajadora estaría solicitando una reducción mayor que la que realmente le corresponde (un 38,25 por 100 en lugar del 33 por 100). Por consiguiente, se niega que el cálculo realizado por la empresa resulte discriminatorio para las trabajadoras con reducción de jornada y se señala que si el cálculo de la reducción se hiciese de forma diaria y no anual, como establece el estatuto de los trabajadores, el resultado sería idéntico al realizado por la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termina indicando que al no haber vulneración de derechos fundamentales no procede el reconocimiento de indemnización alguna. En cualquier caso, y dado que la recurrente insiste en ese punto, se manifiesta que la que se solicita y se fija en relación al art. 8.12 de la Ley sobre infracciones y sanciones del orden social no procedería y que, además, el art. 183 de la Ley reguladora de la jurisdicción social exige que se establezca prudencialmente en caso de que la prueba de su importe exacto sea muy difícil. La actora, sin embargo no ha realizado el más mínimo esfuerzo en plantear los parámetros para el cálculo de la indemnización, lo que provoca indefensión a la parte demandada, máxime cuando no hay daño alguno que indemnizar.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17 de diciembre de 2019 el procurador de los tribunales don Manuel María Martínez de Lejarza Ureña, en representación de doña Pilar Prados Torres, presentó escrito de alegaciones ratificándose en las realizadas en la demanda de amparo. Asimismo, adjuntó con el escrito un informe pericial en el que se analiza matemáticamente el controvertido cómputo de las guardias de las trabajadoras en reducción de jornada por cuidado de hijos y/o familiares, con el fin de avalar los cálculos realizados por esa parte en su recurso de amparo. Se termina solicitando que se estime el recurso de amparo reconociéndose a la recurrente la vulneración del derecho a la igualdad y a la no discriminación, con nulidad de las sentencias recurridas y el reconocimiento de la indemnización reclamada.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8 de enero de 2020, presentó sus alegaciones el Ministerio Fiscal. Antes de analizar el fondo de la cuestión realiza una observación previa en cuanto al objeto del enjuiciamiento. Indica que aunque la demanda se dirige expresamente contra las sentencias del juzgado de lo social y del Tribunal Superior de Justicia, dado que las mismas se limitan a confirmar las resoluciones de un ente que forma parte de la administración pública, integrado en la Consejería de Sanidad de la Junta de Andalucía, lo que se imputa a las sentencias impugnadas en la demanda de amparo no es haber vulnerado por sí mismos los derechos a la igualdad ante la ley y a no sufrir discriminación por razón de sexo, sino no haber reparado la vulneración ya producida en las resoluciones del ente público. Por tal motivo, el fiscal considera aplicable la doctrina sentada en la STC 15/2011, de 28 de febrero, FJ 2, relativa a decisiones judiciales desestimatorias que no alteran la situación jurídica creada por el acto de la administración presuntamente lesivo del derecho fundamental, y que no son, por tanto, en sí mismas causas de lesión. No encontrándonos en un amparo contra decisiones judiciales (art. 44 LOTC), sino en el caso de un amparo contra una resolución administrativa (art. 43 LOTC), el plazo para la interposición del recurso de amparo sería de veinte días y no de treinta. Así las cosas, habiendo sido notificado el auto del Tribunal Superior de Justicia de Andalucía, de 13 de diciembre de 2018 (que desestimó la solicitud del complemento de sentencia) el 18 de diciembre de 2018, a las 15:27:34, el tiempo válido para interponer el recurso de amparo se extendía hasta el 23 de enero de 2019 a las quince horas, y habiendo tenido entrada en el Tribunal Constitucional el recurso de amparo el día 23 de enero de 2019 a las 19:56:01, estaría presentado fuera de plazo y procedería acordar su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para el caso de que se considerase temporáneo, el fiscal pasa a analizar el fondo del asunto planteado, no sin antes referirse a la doctrina constitucional que considera aplicable al caso, relativa al derecho a la igualdad (resumida recientemente en la STC 91/2019, de 3 de julio), a la discriminación por razón de sexo en el ámbito laboral (STC 214/2006, de 3 de julio), y a la discriminación indirecta (con cita, nuevamente, de la STC 91/2019). Señala que la diferencia de trato o discriminación alegada por la actora consistiría en que a los trabajadores con jornada reducida se les abonaría menos horas de descanso retribuido por saliente de guardia que a los de a tiempo completo, cuando la duración de las guardias en ambos supuestos es idéntica (diez horas). En el caso de la demandante (con una reducción de jornada del 33 por 100) se le abonarían solo 4,69 horas por guardia de diez horas, mientras que los trabajadores sin reducción de jornada obtendrían siete horas por guardias de la misma duración. La cuestión a dilucidar, por lo tanto, es si trabajando ambos colectivos en los servicios de guardia durante diez horas ininterrumpidas en la misma franja horaria, sin diferencia alguna en el servicio que prestan en cada guardia, es contrario al art. 14 CE que se reduzcan las horas de descanso remunerado de los trabajadores que tienen reducción de jornada en la misma proporción en que tienen reducida su jornada ordinaria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fiscal que el sistema de cálculo utilizado por la empresa implica, como dice la demandante, una doble reducción. En efecto, no solo reduce en un 33 por 100 el número de guardias anuales a realizar (que pasan de cuarenta y cuatro a treinta guardias al año), sino que después se vuelve a aplicar la reducción del 33 por 100 al calcular las horas de descanso retribuido por cada saliente de guardia al no atribuirle a la trabajadora 7 horas por guardia (como ocurre con los trabajadores a tiempo completo), sino sólo 4,69 (al aplicar la reducción del 33 por 100 también a las siete horas de descanso retribuido que genera cada guardia). Por consiguiente las 30 guardias no le generan a la actora 210 horas de descanso retribuido, sino solo 140,7. Este modo de cálculo obvia la circunstancia de que las guardias tienen siempre la misma duración (diez horas), ya sean realizadas por trabajadores a tiempo completo como con jornada reducida. Y siendo así, el abono del descanso por guardia no puede ser menor para los trabajadores que, fuera de cada servicio de guardia concreto, tienen reducción de jornada, porque en cada una de las guardias que realizan su jornada es completa al trabajar las mismas diez horas que el resto de los trabajadores. Y subraya después el fiscal que la diferencia de trato que se advierte resulta mayor cuanto mayor es la reducción de jornada ordinaria que se le ha concedido al trabajador, pues la reducción del abono se hace en la misma proporción que la reducción de jornada. De este modo, incluso entre los trabajadores con reducción de jornada se produciría una diferencia de trato según el tanto por ciento de reducción de jornada al que se hubieran acogido.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recuerda posteriormente que la empresa justifica la disminución de abono de horas de descanso remunerado por guardia a los trabajadores a tiempo parcial con el argumento de que como lo que se les debe abonar es una jornada y las horas de su jornada ordinara están reducidas al 33 por 100, se debe reducir en la misma proporción las horas a retribuir por cada servicio de guardia. Señala el fiscal que ese argumento justificaría la reducción si lo que se redujera para la demandante fuera la duración de cada guardia, de tal modo que si trabajase un 33 por 100 menos en cada guardia, procedería también reducir en igual porcentaje las horas de descanso retribuido por guardia. Hay que tener en cuenta que el abono de horas de descanso remunerado por guardia está determinado por las horas de la jornada de guardia, siendo una remuneración por lo penoso de la guardia. No tiene, por lo tanto, relación con las horas de jornada ordinaria. Si una jornada de guardia no se reduce (es una jornada completa de diez horas), no hay reducción de la penosidad, y, por lo tanto, no hay justificación para reducir las horas remuneradas de la jornada de descanso (una jornada completa de siete horas) por haber realizado esa guardia.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anteriormente razonado deduce que la diferencia de trato resulta injustificada porque ambos colectivos trabajan las mismas horas durante la jornada de guardia y, sin embargo, con el sistema aplicado por la empresa se abonan a la recurrente y a los demás trabajadores que están con reducción de jornada menos horas de descanso remunerado por guardia que a los trabajadores con jornada completa. Asimismo, el fiscal considera que también concurre en este caso una discriminación indirecta por razón de sexo en tanto que siendo las mujeres las que principalmente se encargan de la atención de los menores, por lógica son las que en mayor medida utilizan la reducción de jornada para atender al cuidado de los hijos.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efectos de la estimación del recurso, el fiscal considera que además de proceder a declarar nulas las sentencias directamente impugnadas, procede también acordar la nulidad de las resoluciones administrativas que produjeron directamente la vulneración de los derechos constitucionales mencionados y que luego fueron convalidadas por las sentencias impugnadas. Ahora bien, respecto a la petición de indemnización por la declaración de la existencia de la vulneración (art. 183 de la Ley reguladora de la jurisdicción social), el fiscal considera que la valoración de los perjuicios a que se refiere dicho precepto es una problemática de legalidad ordinaria, y, por lo tanto, no es una cuestión que deba ser resuelta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13 de febrero de 2020, el Pleno de este tribunal, a propuesta del presidente, conforme a lo establecido en el art. 10.1 n) LOTC, acordó recabar para sí el conocimiento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30 de junio de 2020 se señaló para deliberación y votación de la presente sentencia el día 2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posiciones de las partes. La recurrente en amparo, médico del servicio de urgencias del hospital Costa del Sol de Marbella (Málaga), dependiente de la agencia sanitaria Costa del Sol (entidad de Derecho público adscrita a la Consejería de Salud de la Junta de Andalucía), venía realizando una jornada ordinaria de 1.523 horas de trabajo (a razón de siete horas al día) y otra complementaria como consecuencia de la realización obligatoria de cuarenta y cuatro guardias al año (en horario nocturno, con una duración de diez horas), cada una de las cuales, no solo generaba al día siguiente (“saliente de guardia”) un descanso de veinticuatro horas, sino que, a efectos retributivos, se tomaban siete de esas horas como de trabajo efectivo (descanso retribuido). De este modo, en el cómputo anual de las 1523 horas de jornada ordinaria quedaban incluidas las 308 horas generadas por los “salientes de guardia”. Posteriormente, solicitó la aplicación de la reducción de jornada por motivos de guarda legal para el cuidado de los hijos menores de doce años (en un 33 por 100) prevista tanto en el art. 37.6 del texto refundido de la Ley del estatuto de los trabajadores, aprobado por el Real Decreto Legislativo 2/2015, de 23 de octubre (en lo sucesivo, LET), como en el art. 23 del convenio colectivo de la citada agencia. En aplicación de tal previsión, la empleadora procedió a reducirle, en la misma proporción, el número de horas de su jornada ordinaria (que pasó de 1523 a 1020,41 horas), el número de guardias médicas obligatorias (que pasó de cuarenta y cuatro a treinta), así como el número de horas de descanso retribuido computables por cada saliente de guardia (reduciéndolo de siete a 4,69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parte demandante, la reducción aplicada sobre el descanso retribuido por guardia médica es contraria al principio de igualdad y no discriminación del art. 14 CE. A su juicio, tal decisión empresarial —avalada por las resoluciones judiciales impugnadas— produce una diferencia de trato injustificada entre trabajadores a tiempo completo y trabajadoras con jornada reducida, de manera que, a igualdad de jornada (guardia médica obligatoria de diez horas), recibe una menor compensación por cada “saliente de guardia” (de 4,69 horas en lugar de siete horas), de modo que tiene que trabajar 69,30 horas más en términos anuales (un total de 879,71 horas en lugar de 810,41 horas). Además, podría producirse también una discriminación indirecta por razón de sexo, en la medida que el trato desigual denunciado vendría motivado por el ejercicio de un derecho (el de reducción de jornada para el cuidado de hijos) que, aunque reconocido legalmente tanto a los hombres como a las mujeres, se ejercita mayoritariamente por estas últimas.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demandada, por el contrario, rechaza que se hayan visto afectados los derechos fundamentales invocados, y señala que en el recurso se plantea tan solo una cuestión de legalidad ordinaria atinente al cálculo de la jornada reducida, que permite diversas interpretaciones y que, en todo caso, habría sido realizado correctamente por la empresa. Por su parte, el fiscal, partiendo de que se ha planteado un recurso de amparo por la vía del art. 43 LOTC frente a un acto administrativo, propone la inadmisión del recurso por extemporáneo al considerar que se ha presentado una vez transcurrido el plazo de veinte días al que está sujeta su interposición. No obstante, y para el caso de que no se aprecie la concurrencia del citado óbice de admisibilidad, interesa el otorgamiento del amparo por considerar que el sistema de cálculo empleado por la parte demandada para fijar la jornada reducida de la recurrente en amparo produce una diferencia de trato contraria al art. 14 CE, en su doble vertiente de derecho a la igualdad y prohibición de discriminación indirecta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Especial trascendencia constitucional. En la providencia de admisión a trámite del recurso de amparo se apreció que concurría en el mismo la especial trascendencia constitucional prevista en los apartados a) y b) del fundamento jurídico 2 de la STC 155/2009, de 25 de junio. Ciertamente, este Tribunal valoró, de un lado, que el recurso planteaba un problema o faceta de un derecho fundamental susceptible de amparo sobre el que no hay doctrina de este Tribunal, en la medida en que en este caso se denuncia una diferencia de trato en materia retributiva entre trabajadores a tiempo completo y parcial, derivada del ejercicio de derechos asociados con la maternidad. De otro lado, el recurso permitía además aclarar la doctrina existente sobre la discriminación indirecta por razón de sexo pues, aun cuando existen pronunciamientos diversos de este Tribunal sobre tal tipo de discriminación, el Tribunal tiene la oportunidad de insistir en la necesidad de cumplimiento de su jurisprudencia en la materia, abundando para ello en sus parámetros generales y concreción aplicativa, evitando, en lo posible, dudas ulteriores sobre su alcance que puedan dar lugar a inaplicaciones objetivas de la misma (STC 146/2019, de 25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Óbice de procedibilidad: extemporaneidad de la demanda. Antes de entrar a analizar la vulneración denunciada en el presente proceso de amparo, es necesario dar respuesta al óbice de procedibilidad opuesto por el fiscal. Partiendo de que la queja de la recurrente se ubica en el ámbito del art. 43 LOTC por dirigirse frente a una decisión administrativa, considera que el recurso resulta inadmisible por extemporáneo, al haberse formulado fuera del plazo de interposición de veinte días [art. 50.1 a) en relación con el art. 43.2 LOTC]. En efecto, habiéndose notificado el auto del Tribunal Superior de Justicia de Andalucía de fecha 13 de diciembre de 2018 (desestimatorio de la solicitud del complemento de sentencia) el día 18 de diciembre de 2018, el tiempo válido para interponer el recurso de amparo se extendía hasta las 15:00 horas del día 23 de enero de 2019, cuando lo cierto es que el recurso de amparo tuvo entrada en este Tribunal Constitucional a las 19:56:01 de ese mismo día 23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recordar, a este respecto, que el plazo de interposición del recurso de amparo es “de caducidad, improrrogable y no susceptible de suspensión y, por consiguiente, de inexorable cumplimiento”, por lo que no consiente prolongaciones artificiales ni puede quedar al arbitrio de las partes (entre muchas, SSTC 85/2004, de 10 de mayo, FJ 2; y 41/2009, de 9 de febrero, FJ 3). Ahora bien, de cara a la determinación del concreto plazo de interposición del recurso de amparo es imprescindible analizar primero, la naturaleza de la decisión que ha originado la queja de la recurrente, para dilucidar si se trata de un acto administrativo impugnable a través de la vía del art. 43.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señalado, el acto al que se imputa la lesión del derecho fundamental previsto en el art. 14 CE emana de la agencia pública empresarial sanitaria Costa del Sol. Pues bien, sin que sea este el momento de realizar un minucioso estudio de la naturaleza jurídica de la citada “agencia” y de los actos que realiza, hay que tener en cuenta que nos encontramos ante una entidad de Derecho público adscrita a la Consejería de Salud de la Junta de Andalucía, entre cuyas funciones está la gestión y administración del hospital Costa del Sol de Marbella [art. 6.b) 1 de los estatutos de la agencia pública empresarial sanitaria Costa del Sol, aprobados por el Decreto 98/2011, de 19 de abril (“Boletín Oficial de la Junta de Andalucía” núm. 83, de 29 de abril)], en el que presta sus servicios la recurrente en amparo. Tal entidad, a pesar de tener naturaleza pública, se rige por el Derecho privado en todos los actos que realiza, salvo los que estén relacionados con la formación de la voluntad de sus órganos y con el ejercicio de las potestades administrativas que tiene atribuidas (arts. 9, 10 y 11 de la Ley del Parlamento de Andalucía 1/2011, de 17 de febrero, de reordenación del sector público de Andalucía, y 30 y 31 de sus estatutos). En consonancia con ello, la agencia se rige por las normas procesales comunes sobre competencia y jurisdicción “aplicables a las personas de Derecho Privado”, sin perjuicio de las especialidades que pudieran proceder en virtud de su naturaleza de entidad de Derecho público (art. 31.1 de sus estatutos).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lo que antecede, hay que precisar que la resolución cuestionada no es fruto del ejercicio de potestades administrativas de la agencia demandada, al tratarse de un mero acto de gestión del personal laboral empleado en los hospitales a ella adscritos, que se rige por el estatuto de los trabajadores y por el convenio colectivo de aplicación. Por consiguiente, no estamos ante un recurso de amparo por la vía del art. 43 LOTC (contra actos de las administraciones públicas), sino ante un recurso de amparo que debe quedar encuadrado en el art. 44 LOTC ya que, en la actuación controvertida, la agencia intervino como empleadora, sin ejercer potestad pública alguna (potestad de imperio), desarrollando facultades de orden jurídico-privado que le reconoce el ordenamiento laboral (en sentido similar, SSTC 6/1988, de 21 de enero, FJ 1, y 29/2013, de 11 de febrero, FJ 1). En consecuencia, aunque la lesión la haya causado originariamente la agencia demandada, es a los órganos judiciales a quienes corresponde —ex art. 53.2 CE— tutelar el derecho reconocido en el art. 14 CE, de modo que, al confirmar la decisión adoptada por la empleadora, es a ellos a quienes les es imputable la lesión, siendo las resoluciones judiciales dictadas el acto del poder público aquí impugnado, respecto de las que opera el plazo de interposición de treinta días (art. 44.2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Doctrina constitucional aplicable. En orden a determinar si se ha producido la infracción del derecho a la igualdad y no discriminación que la recurrente denuncia, es necesario recordar brevemente el contenido que define los derechos fundamentales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reiterada doctrina constitucional, el derecho a la igualdad reconocido en el primer inciso del art. 14 CE exige que a iguales supuestos de hecho se apliquen iguales consecuencias jurídicas, lo que veda la utilización de elementos de diferenciación que quepa calificar de arbitrarios o carentes de una justificación objetiva y razonable [SSTC 253/2004, de 22 de diciembre, FJ 5; 117/2011, de 4 de julio, FJ 4; 149/2017, de 18 de diciembre, FJ 4, y 91/2019, de 3 de julio, FJ 4 a), entre otras muchas]. Lo que prohíbe el principio de igualdad, en definitiva, son las desigualdades que resulten artificiosas o injustificadas por no venir fundadas en criterios objetivos y razonables, de valor generalmente aceptado [STC 91/2019, FJ 4 a)]. El juicio de igualdad, siendo relacional, exige como presupuestos obligados, de un lado, que se haya introducido directa o indirectamente una diferencia de trato entre grupos o categorías de personas; de otro, que las situaciones subjetivas que quieran traerse a la comparación sean, efectivamente, homogéneas o equiparables, es decir, que el término de comparación no resulte arbitrario o caprichoso. Sólo una vez verificado uno y otro presupuesto resulta procedente entrar a determinar la licitud constitucional o no de la diferencia de trato (SSTC 27/2004, de 4 de marzo, FJ 2; 149/2017, de 18 de diciembre, FJ 5; 111/2018, de 17 de octubre, FJ 7, y 85/2019, de 19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virtualidad del art. 14 CE no se agota, sin embargo, en la proclamación del derecho a la igualdad sino que a continuación el precepto se refiere a la prohibición de discriminación, entre otros motivos, “por razón de sexo”. Tal tipo de discriminación comprende no solo el tratamiento peyorativo que se funda en la pura y simple constatación del sexo de la persona afectada, sino en la concurrencia de razones o circunstancias que tengan con el sexo de la persona una conexión directa e inequívoca, como sucede con el embarazo y la maternidad (por todas, SSTC 17/2003, de 30 de enero, FJ 3; 3/2007, de 15 de enero, FJ 2, y 2/2017, de 16 de enero, FJ 5). No obstante, esta protección constitucional vinculada a factores diferenciales que inciden en las mujeres no se detiene en el embarazo y subsiguiente maternidad, sino que se extiende también al ejercicio por la trabajadora de los “derechos asociados a la maternidad”. Tales derechos, aunque son reconocidos por el ordenamiento jurídico indistintamente al hombre y a la mujer con el objeto de estimular cambios en la cultura familiar y promover el reparto de responsabilidades, sirven principalmente para compensar las dificultades y desventajas que agravan la posición de la mujer trabajadora. En efecto, se trata de derechos que inciden de modo singular en las mujeres, al ser las que principalmente asumen el cuidado de los hijos de corta edad y sufren, por ello, mayores dificultades para su inserción laboral y su mantenimiento en el mercado de trabajo [STC 233/2007, de 5 de noviembre, FJ 7, a), y posteriores SSTC 162/2016, de 3 de octubre, FJ 4; 2/2017, de 16 de enero, FJ 5, y 108/2019, de 30 de septiembre, FJ 2]. Ahora bien, es importante subrayar que la discriminación por razón de sexo no solo se produce cuando a la mujer trabajadora se le niega uno de esos derechos asociados a la maternidad, sino también cuando, pese a su inicial reconocimiento y ejercicio, se le cause un perjuicio efectivo y constatable que consista en un “trato peyorativo en sus condiciones de trabajo”, o en “una limitación o quebranto de sus derechos o legítimas expectativas económicas o profesionales en la relación laboral”, por la exclusiva razón del ejercicio previo de ese derecho [STC 233/2007, FJ 7 c) 2]. En otras palabras, en tales casos la vulneración del art. 14 CE vendría determinada por el menoscabo, de carácter discriminatorio, ocasionado en el patrimonio jurídico de la mujer trabajadora. Y, entre esos derechos asociados a la maternidad que, como se ha dicho, responden a la idea de compensar las desventajas reales que para la conservación de su empleo y para la conciliación de su vida laboral y familiar soporta la mujer trabajadora, se encuentran, precisamente, el derecho a la excedencia laboral por cuidado de hijos (art. 46.3 LET) y el derecho a la reducción de jornada por razones de guarda legal (art. 37.6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cabe recordar también que la específica prohibición de discriminación por razón de sexo no sólo comprende la “discriminación directa” a la que se ha hecho referencia, sino también la “discriminación indirecta”, es decir, aquel tratamiento formalmente neutro o no discriminatorio del que se deriva, por las diversas condiciones fácticas que se dan entre trabajadores de uno y otro sexo, un impacto adverso sobre los miembros de un determinado sexo [SSTC 145/1991, de 1 de julio, FJ 2, y 91/2019, de 3 de julio, FJ 4.c)].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Resolución del recurso de amparo. Teniendo en cuenta la doctrina sintetizada en el fundamento jurídico precedente, ya estamos en disposición de pronunciarnos sobre si se ha producido una diferencia de trato contraria al art. 14 CE como consecuencia de que la empleadora al calcular la reducción de jornada por motivos de guarda legal para el cuidado de los hijos menores, no solo aplicó la reducción al número de horas de la jornada ordinaria (que pasó de 1523 a 1020,41 horas, en jornadas diarias de siete horas) y al número de guardias médicas obligatorias (que pasó de cuarenta y cuatro a treinta, en jornadas diarias de diez horas), sino también al número de horas de descanso retribuido computables por cada saliente de guardia (reduciéndolo de siete horas a 4,69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con anterioridad, el juicio de igualdad es de carácter relacional, pues requiere que la diferencia de trato se produzca entre grupos o categorías de personas que puedan considerarse homogéneas o equiparables (STC 149/2017). Y resulta que, en este caso, las situaciones subjetivas que la recurrente contrasta constituyen un término de comparación válido, al tratarse de supuestos de hecho iguales en la medida que, aun realizando menos guardias obligatorias (treinta en lugar de cuarenta y cuatro, fruto de la reducción de jornada para el cuidado de los hijos), las que realiza son, al igual que el resto de sus compañeros, de diez horas de duración.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Estando, pues, ante situaciones subjetivas comparables, que son aptas para realizar el juicio de igualdad, debemos ahora comprobar si la diferencia de trato denunciada posee una justificación objetiva y razonable que la legitime. El argumento que ofrece la entidad demandada para justificar la diferencia de trato (y que ha sido aceptado en la vía judicial) es que, dado que la recurrente tiene su jornada habitual reducida en un 33 por 100, las guardias realizadas no pueden generarle un descanso retribuido equivalente a una jornada de trabajo “ordinaria” completa (de siete horas), procediendo la empleadora a reducírselo a 4,69 horas. Tal argumentación resulta, sin embargo, inasumible, al utilizar la empleadora para justificar la diferencia de trato un elemento de diferenciación que debe calificarse de arbitrario o carente de una justificación objetiva y razonable (STC 91/2019, FJ 4), a saber, el de que la recurrente en amparo realiza la jornada de trabajo (tanto ordinaria como complementaria) de forma reducida.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que descuidar que la reducción tanto de la jornada ordinaria (en cómputo anual) como de la complementaria (en número de guardias) es fruto de un derecho (el cuidado de los hijos), cuyo ejercicio no puede generarle un menoscabo en la asignación del descanso retribuido derivado de la realización de unas guardias que, aun menores en su número, son de la misma duración que para el resto de los trabajadores: de diez horas. Dicho de otra manera, como se ha señalado ya, aunque la recurrente realiza menos jornadas “ordinarias” de trabajo (1020,41 horas anuales en lugar de las 1523 horas previstas, en jornadas diarias de siete horas), y menos jornadas “complementarias” (treinta guardias obligatorias en lugar de las cuarenta y cuatro previstas, en jornadas de diez horas), fruto de la reducción para el cuidado de los hijos, las que sí realiza (las treinta guardias), las lleva a cabo, al igual que el resto de sus compañeros, a jornada completa de diez horas. Por tanto, ante una misma situación (guardias de diez horas), que generan el derecho a un descanso retribuido (de siete horas), no puede la empleadora asignarle otro (de 4,69 horas), so pretexto de que ya tiene reducido tanto el número de horas ordinarias que debe trabajar como el número de guardias que obligatoriamente debe realizar. No existe, pues, una justificación razonable que legitime el diferente trato recibido.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no solo eso. También puede apreciarse una discriminación indirecta por razón de sexo porque el método de cálculo usado por la empleadora para asignarle los períodos de descanso retribuidos por cada “saliente de guardia”, le ha provocado un “perjuicio efectivo y constatable” que ha generado, en este caso, un “trato peyorativo en sus condiciones de trabajo” (STC 233/2007) fruto del ejercicio de un derecho asociado con la maternidad (como es el derecho a la reducción de jornada para el cuidado de hijos). Y aunque aquel método es formalmente neutro, ha perjudicado a un número mayor de mujeres que de hombres (STC 91/2019), pues esta demanda de amparo forma parte de una serie de recursos en que todas las recurrentes, a fecha del dictado de esta sentencia, son mujeres médicos.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al carecer la diferencia de trato de una justificación que la legitime, procede estimar la vulneración del derecho a la igualdad, sin discriminación por razón de maternidad, reconocido en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Alcance de la estimación del recurso. El otorgamiento del recurso de amparo conlleva la anulación de las resoluciones judiciales impugnadas que negaron a la recurrente, al calcular su jornada anual, el reconocimiento del mismo número de horas de trabajo efectivo por cada saliente de guardia que al resto de los trabajadores con jornadas a tiempo completo. El restablecimiento de su derecho a la igualdad de trato y no discriminación indirecta por razón de sexo (art. 14 CE) requiere, en consecuencia, la retroacción de las actuaciones al momento inmediatamente anterior al del dictado de la primera de las resoluciones judiciales a fin de que sea dictada una nueva resolución respetuosa con tales derechos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por lo que se refiere a la solicitud del reconocimiento de una indemnización anudada a la infracción del derecho a la igualdad y a no padecer discriminación que solicita la recurrente, no procede realizar pronunciamiento alguno al respecto en esta sede, no solo por ser una cuestión que quedó imprejuzgada en la vía judicial (STC 176/2013, de 21 de octubre, FJ 9), sino también porque el reconocimiento de una eventual indemnización no puede ser pretendido como una consecuencia automática y necesaria de la estimación del recurso de amparo, pues el restablecimiento del derecho fundamental vulnerado se realiza, en principio, mediante las medidas previstas en el fallo de nulidad de las resoluciones judiciales impugnadas, siendo algo que debe ser llevado a cabo por la jurisdicción ordinaria (por todos, AATC 233/2001, de 25 de julio, FJ 3, y 270/2008, de 15 de septiembre, FJ único).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otorgar el amparo a doña Pilar Prados Torres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el derecho de la recurrente a la igualdad ante la ley y la prohibición de discriminación indirecta por razón de sexo (art. 14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Reestablecerla en su derecho y, a tal fin, anular la sentencia del Juzgado de lo Social núm. 6 de Málaga, de 10 de mayo de 2018, autos núm. 100-2018, y la de la Sala de lo Social del Tribunal Superior de Justicia de Andalucía, sede de Málaga, de 5 de diciembre de 2018, dictada en el recurso de suplicación núm. 1546-2018, que las confirmaron.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del dictado de la sentencia del Juzgado de lo Social núm. 6 de Málaga de 10 de mayo de 2018, a fin de que se dicte una nueva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julio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