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don Ricardo Enríquez Sancho, en el recurso de amparo núm. 4217-2019, promovido por don Alfonso Mesa Puga y otros,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2019, el procurador de los Tribunales don Pedro Emilio Serradilla Serrano, en nombre y representación de don Alfonso Mesa Puga, doña Juana Francisca López de Águila y don Juan Mesa López, y bajo la dirección del letrado don Iván García Navarro, interpuso recurso de amparo contra la providencia del Juzgado de Primera Instancia núm. 2 de Almería de 12 de abril de 2019, por el que se inadmite el incidente de nulidad actuaciones interpuesto contra la providencia de 17 de mayo de 2019 pronunciada en el procedimiento de ejecución hipotecaria núm. 610-2014.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la suspensión del procedimiento de ejecución y la anotación preventiva de la demanda de amparo en evitación de su pérdida de finalidad si llegara a subastarse el bien inmueble objeto de la hipoteca y su adjudicación a terceros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15 de junio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7 de julio de 2020, presentó alegaciones interesando que se deniegue la suspensión del procedimiento de ejecución, ya que tiene contenido patrimonial y no se ha desarrollado ningún esfuerzo argumental dirigido a exponer la perdida de finalidad del amparo y los perjuicios irreparables a irrogar. Por el contrario, considera procedente la medida de la anotación preventiva de la demanda en protección frente a eventuales terceros adquirentes de buena fe que hicieran irreivindicable el bien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no formularon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El art. 56.2 LOTC concreta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y debe entenderse por tal aquel que provoque que el restablecimiento del recurrente en los derechos fundamentales cuya vulneración denuncia sea tardío e impida definitivamente que la restauración sea efectiva; (ii)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y (iii) en lo que se refiere a la ejecución de los pronunciamientos con efectos fundamentalmente patrimoniales o de contenido económico, el Tribunal ha consagrado que, con carácter general, ni causan un perjuicio irreparable al obligado al pago, ni pueden hacer perder al amparo su finalidad, al ser posible la restitución íntegra de lo ejecutado. De ese modo, solo se ha accedido a la suspensión en supuestos excepcionales en los que la ejecución de las resoluciones recurridas en amparo acarrearía perjuicios económicos muy difícilmente reparables por su entidad o por la irreversibilidad de las situaciones jurídicas que puedan producirse (así, por ejemplo, ATC 194/2016, de 28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la suspensión que se solicita es de exclusivo carácter económico, ya que se refiere a un procedimiento de ejecución hipotecaria. Por otra parte, los recurrentes no han desarrollado ningún esfuerzo argumental dirigido a fundamentar el perjuicio irreparable que esta ejecución les podría suponer, por lo que no se ha puesto de manifiesto, como es carga procesal que les corresponde, la concurrencia de circunstancias excepcionales vinculadas a la irreparabilidad de los perjuicios económicos que se pudieran irrogar con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la medida cautelar de anotación preventiva de la demanda de amparo en el registro de la propiedad, al ser una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2/2019, de 9 de enero, FJ 4, y 85/2019, de 15 de julio, a propósito de otros procedimientos hipotecarios.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el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decisión queda limitada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 deniega la suspensión solicitada, pero se acuerda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610-2014 seguido en el Juzgado de Primera instancia núm. 2 de Almería.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