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21 de septiembre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El recurso de amparo núm. 1101-2019 ha sido promovido a instancia de doña Mónica López del Castillo, representada por el procurador de los tribunales don Manuel María Martínez de Lejarza Ureña y asistida por el abogado don Jesús Manuel Guzmán Ruiz. El recurso fue interpuesto contra la sentencia del Juzgado de lo Social núm. 1 de Málaga, de 18 de mayo de 2018, en procedimiento núm. 135-2018, y contra la sentencia de la Sala de lo Social del Tribunal Superior de Justicia de Andalucía, sede de Málaga, de 16 de enero de 2019, que desestimó el recurso de suplicación núm. 1717-2018 formulado contra la anterior resolución por la demandante de amparo. Ha comparecido y formulado alegaciones la agencia pública empresarial sanitaria Costa del Sol, representada por la procuradora doña Úrsula Cabezas Manjavacas y asistida por el letrado don Andrés Daniel Sedeño Ferrer.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21 de febrero de 2019, el procurador de los tribunales don Manuel María Martínez de Lejarza Ureña, en nombre y representación de doña Mónica López del Castillo, interpuso recurso de amparo contra las resoluciones judiciales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los siguientes, sucintamente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trabaja como médico del servicio de urgencias adscrita al turno rotatorio (turnos de facultativos de urgencias) en el hospital Costa del Sol de Marbella (Málaga), gestionado por la agencia pública empresarial sanitaria Costa del Sol. La jornada anual ordinaria para los médicos de urgencias es de 1523 horas (siete horas al día), a la que se suman 440 horas en concepto de jornada anual complementaria por realización de guardias (cuarenta y cuatro guardias de diez horas cada una). Estas guardias son obligatorias y generan un descanso en el día posterior —“saliente de guardia”— de veinticuatro horas, de las cuales computan como trabajadas siete horas por saliente. En las 1523 horas anuales de jornada están incluidas las horas realmente realizadas y las que se reconocen como trabajadas por cada saliente (308 horas, a razón de siete horas por cuarenta y cuatro salientes).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recurrente en amparo solicitó la reducción de jornada en un 33 por 100 por cuidado de sus dos hijos menores (art. 37.6 del texto refundido de la Ley del estatuto de los trabajadores y art. 23 del convenio colectivo de la agencia pública empresarial sanitaria Costa del Sol); es decir, pidió realizar una jornada del 67 por 100 optando por una reducción anual. Obtuvo de la empresa la reducción pero mediante un cálculo tal que no se le ha minorado el número de horas trabajadas en cada jornada diaria o en cada guardia, sino el número anual de días de trabajo y de guardias: en lugar de cuarenta y cuatro guardias realiza treinta (el 33 por 100), pero siguen siendo guardias de diez horas cada una y cada jornada diaria sigue siendo también de duración normal, siete horas, aunque el número de días de trabajo al cabo del año es un 33 por 100 menor. La empresa calculó su jornada reducida en 879,71 horas al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Disconforme con el cálculo de su jornada realizado por la empresa y, tras ver desestimada la reclamación previa, la recurrente formuló demanda en vía judicial en materia de reducción de jornada, a lo cual acumuló la acción de daños y perjuicios y la reclamación de tutela de derechos fundamentales y libertades públicas. La disconformidad se fundaba en que el cálculo infringía el art. 14 CE por constituir una desigualdad de trato entre trabajadoras a tiempo completo y trabajadoras con jornada reducida, pues se computaba de forma diferente los salientes de guardia aplicando a su caso una doble reducción. A su juicio, el cálculo de la empresa consiste en que los salientes de guardia se reducen también en un 33 por 100; es decir, la empresa aplica ese porcentaje de reducción de jornada al descanso retribuido por cada saliente. Lo discutido es pues el cómputo de horas que se tienen como de trabajo efectivo en los salientes de guardia.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fue desestimada mediante sentencia del Juzgado de lo Social núm. 1 de Málaga de 18 de mayo de 2018. Señala el juzgado que la actora no había aportado en el juicio indicios para proceder a la inversión de la carga probatoria; se le había reconocido el derecho a la reducción, lo estaba disfrutando y la empresa le facilitó la conciliación al permitirle acumular la reducción de jornada. Según el juzgado la discrepancia derivaba de la discutible y compleja forma de calcular la jornada reducida y, por ello, excluía un ánimo vulnerador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sentencia del juzgado la demandante formuló recurso de suplicación, en el que pedía el reconocimiento de la infracción del art. 14 CE y la condena a una indemnización de 6250 € por daños derivados de la lesión de derecho fundamental; desistió del resto de los motivos del recurso. El recurso de suplicación también fue desestimado, mediante la sentencia de la Sala de lo Social del Tribunal Superior de Justicia de Andalucía, sede de Málaga, de 16 de enero de 2019, que confirmó lo decidido en la instancia convalidando el cálculo de la jornada hecho por la empresa y señalando que a idéntica solución se llegaba, ya se calculase la jornada reducida en cómputo anual o en cómputo diario; el porcentaje aplicado para la reducción de jornada debía tener reflejo tanto en las horas habituales de trabajo como en las guardias realizadas, es decir procedía aplicar la reducción del 33 por 100 no solo a la jornada ordinaria sino también a las horas de trabajo efectivo reconocidas por saliente de guardia. Al no apreciar discriminación en el cálculo, la sala desestimó que hubiera infracción del art. 14 CE y desestimó también la petición de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derecho a la igualdad de trato y a la no discriminación (art. 14 CE). Considera que se produce la vulneración al calcular la empresa la jornada de las trabajadoras con reducción de jornada por cuidado de hijos, en tanto que obtienen una remuneración o compensación menor que el resto de los trabajadores por el mismo número de horas de guardia realizadas. La discrepancia deriva de la forma en que la empresa calcula la jornada efectiva en relación con los salientes de guardia. A un trabajador a tiempo completo cada guardia le genera el derecho a que se le computen como de trabajo siete horas de descanso; pero de los cálculos por la empresa de los salientes de guardia resulta que a la recurrente, debido a su reducción de jornada, cada guardia (de diez horas, duración igual que la de los trabajadores a tiempo completo) no le genera esas siete horas retribuidas, sino solo 4,69 al aplicarse también a estas horas la reducción del 33 por 100. Ciertamente, la empresa toma la jornada anual, esto es, las 1523 horas anuales de trabajo, y resta los salientes de guardia; pero no toma los salientes que corresponderían al 100 por 100 (a razón de siete horas por saliente, 308 horas) sino los que corresponden al 67 por 100 (210 horas). Realizado ese cálculo en que los salientes han sido objeto de reducción, se aplica la reducción de jornada del 33 por 100 solicitada por la trabajadora, lo que supone reducir otra vez más los salientes de guardia. Por el mismo trabajo (diez horas de guardia) la recurrente percibe una retribución menor como consecuencia de haber ejercido sus derechos a la conciliación de la vida familiar y laboral. Además, hay discriminación indirecta por razón de sexo pues afecta especialmente a las mujeres, que forman proporcionalmente el colectivo más numeroso que solicita la reducción de jornada por tales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octubre de 2019 de la Sección Segunda de este tribunal, se admitió a trámite el recurso de amparo apreciando como causa de especial trascendencia constitucional [art. 50.1 de la Ley Orgánica del Tribunal Constitucional (LOTC)] que el recurso plantea un problema o afecta a una faceta de un derecho fundamental sobre el que no hay doctrina de este tribunal [STC 155/2009, FJ 2 a)] y puede dar ocasión al tribunal para aclarar o cambiar su doctrina, como consecuencia de un proceso de reflexión interna [STC 155/2009, FJ 2 b)]; y se dirigió a los órganos judiciales para que remitieran certificación o fotocopia adverada de las actuaciones y emplazamiento para que pudieran comparecen en el recurso de amparo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18 de noviembre de 2019, la procuradora doña Úrsula Cabezas Manjavacas, actuando en nombre y representación de la agencia pública empresarial sanitaria Costa del Sol, comparece a fin de personarse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17 de diciembre de 2019, la representación de la demandante de amparo formula alegaciones, ratificándose en los argumentos de la demanda; aporta además un informe pericial que analiza matemáticamente la discriminación que produce el cómputo de las guardias de las trabajadoras con reducción de jornada por cuidado de hijo y/o familiares. Dice el escrito de la recurrente que hay trabajadoras con una reducción del 50, otras del 20 y otras del 33 por 100; pero en todos los casos, el derecho quebrantado es el de igualdad. Se tratan de forma diferente, en perjuicio de la recurrente, situaciones que deberían no discriminar a la persona que reclama por su derecho. Pide la estimación del recurso y que se reconozca el derecho fundamental a la igualdad y a la no discriminación con la declaración de no ser ajustadas a la Constitución las sentencias recurridas por haberlo vulnerado y, en consecuencia, que se declare su nulidad y se ordene a los órganos judiciales a estar y pasar por lo declarado, en el sentido de que la forma de cálculo de la reducción de jornada por la empresa en relación a los salientes de guardia quebranta el art. 14 CE, y que se imponga a la empresa el deber de indemnizar a la recurrente por el importe señalado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entrada en el registro de este tribunal el 3 de enero de 2020, la representación de la agencia pública empresarial sanitaria Costa del Sol presenta escrito de alegaciones. Pide la desestimación del recurso alegando, en síntesis, que la controversia planteada queda ceñida a una cuestión de cálculo matemático, por una interpretación diferente del número de horas efectivas de trabajo, que no incide en el derecho fundamental invocado. Habría sido preciso que el acto empresarial hubiera tenido la intención de discriminar a la demandante o, que sin tenerla, hubiera incidido en la esencia del derecho fundamental. Tales circunstancias no se han producido dado que el acto discutido no resulta arbitrario (son posibles varias interpretaciones para realizar el cálculo), ni aun calificándose de erróneo ha afectado al derecho de la recurrente a solicitar la reducción de jornada y a no ser discriminada por ello, pues en ningún momento se le ha denegado tal derecho. Sostiene que la demandante está exigiendo un derecho a la diferenciación; es decir, que por tener jornada reducida se le dispense un trato distinto del que se ha dado a los demás trabajadores. Insiste en que el cómputo practicado por la empresa no resulta erróneo, sino coherente con la reducción de jornada solicitada y concedida.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registró su escrito de alegaciones el 15 de enero de 2020. Hace una observación previa en cuanto al objeto de enjuiciamiento: aunque el amparo se dirige expresamente contra las sentencias del juzgado de lo social y del Tribunal Superior de Justicia, resulta que las resoluciones judiciales se limitan a confirmar las de un ente de la administración pública, integrado en la Consejería de Sanidad de la Junta de Andalucía, por tanto, lo que se imputa a las sentencias no es haber vulnerado por sí mismas los derechos a la igualdad ante la ley y a no sufrir discriminación por razón de sexo, sino haber confirmado la vulneración ya producida en las resoluciones del ente público. Por ello el fiscal estima aplicable la doctrina de la STC 15/2011, de 28 febrero, FJ 2, tratándose el presente de un recurso de los previstos en el art. 43 LOTC, con plazo para interponer el recurso de amparo de veinte días. Según los datos en la causa, la última resolución (la sentencia del Tribunal Superior de Justicia, de 16 de enero de 2019) fue notificada a la demandante el 18 de enero, por lo cual el fiscal estima que el tiempo válido para interponer el recurso se extendía hasta el 16 de febrero de 2019 a las 15:00 horas, de modo que habiéndose registrado el recurso de amparo el 29 de mayo, habría sido presentado fuera de plazo, siendo extemporáneo incluso si se computase el plazo desde la notificación al fiscal, tres días después. Procede pues, según la fiscalía ante el Tribunal Constitucional, acordar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para el caso de que se considerara que el recurso ha sido presentado en plazo, el fiscal analiza el fondo del asunto, entendiendo que, si se estima el recurso, deberán también anularse las resoluciones administrativas. Tras exponer la doctrina constitucional aplicable, argumenta que la cuestión a dilucidar es si resulta contrario al art. 14 CE que, trabajando los colectivos sin reducción de jornada y los que sí la tienen en los servicios de guardia durante diez horas ininterrumpidas en la misma franja horaria, sin diferencia alguna en el servicio que prestan en cada guardia, sin embargo se reduzcan las horas de descanso remunerado (a quienes tienen reconocida reducción de jornada) en la misma proporción en que tienen reducida su jornada ordinaria. Afirma que el sistema de cálculo utilizado por la empresa implica una doble reducción; no solo se reduce en un 33 por 100 el número de guardias anuales, sino que después se vuelve a aplicar una reducción del 33 por 100 al calcular las horas de descanso retribuido por cada saliente de guardia al no retribuir a la trabajadora siete horas por guardia (como ocurre con los trabajadores a tiempo completo), sino solo 4,69 horas. Este cálculo obvia que las guardias tienen para todos la misma duración (diez horas), sean realizadas por trabajadores a tiempo completo o con jornada reducida, por lo que el abono del descanso por guardia no puede ser menor para los trabajadores que tienen reducción de jornada, fuera de cada servicio de guardia concreto, porque en cada una de las guardias que realizan su jornada es completa al trabajar las mismas diez horas que el resto. El fiscal destaca que el abono de horas de descanso remunerado por saliente está determinado por las horas de la jornada de guardia, es una remuneración por la penosidad de la guardia, por lo que si una jornada de guardia no se reduce (es una jornada completa de diez horas) entonces no hay reducción de la penosidad y, en consecuencia, no hay justificación para reducir el número de horas remuneradas de la jornada de descanso (una jornada completa de siete horas) por haber realizado esa guardia.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concluye que la diferencia de trato resulta injustificada porque ambos colectivos, con y sin reducción de jornada, trabajan las mismas horas durante la jornada de guardia pero, sin embargo, con el cálculo aplicado por la empresa se abonan a la recurrente —y a los demás trabajadores con reducción de jornada— menos horas de descanso remunerado por guardia que a los trabajadores con jornada completa. Además, el fiscal considera que también concurre en este caso una discriminación indirecta por razón de sexo ya que, siendo las mujeres quienes principalmente se encargan de la atención de los menores, son las que en mayor medida utilizan la reducción de jornada para atender el cuidado de los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septiembre de 2020,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vulnera el derecho a la igualdad y a la prohibición de discriminación (art. 14 CE) la decisión judicial de confirmar el cómputo de reducción de la jornada de trabajo por motivos de guarda legal para el cuidado de hijos menores, cómputo realizado por la empresa conforme al cual, aun haciéndose una guardia con la misma duración y condiciones que el resto de trabajadores, se produce una reducción del número de horas de descanso retribuido computables por cada saliente de guardia.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objeto es idéntico al resuelto por el Pleno de este tribunal en la STC 79/2020, de 2 de julio (“Boletín Oficial del Estado” núm. 207, de 31 de julio), a cuyos razonamientos sería necesario remitirse. No obstante, ha de examinarse antes el óbice de procedibilidad opuesto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 de procedibilidad por extemporaneidad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dar respuesta al óbice de procedibilidad opuesto por el fiscal. Pese a pedir la estimación del amparo, caso de ser el recurso considerado admisible, objeta a la admisión a trámite el haber sido presentado fuera de plazo. Observa primero que el amparo debe considerarse formulado por la vía del art. 43 LOTC pues aunque se dirige expresamente contra las sentencias del juzgado de lo social y del Tribunal Superior de Justicia, resulta de la demanda y de la documentación aportada que las resoluciones judiciales se limitan a confirmar las de la agencia pública empresarial, por tanto, en aplicación de la doctrina constitucional que cita (STC 15/2011, de 28 de febrero, FJ 2), el objeto del amparo es una actuación administrativa y no nos encontramos ante un recurso de los contemplados en el art. 44 LOTC, tampoco de los calificados como mixtos ya que no se imputa a las resoluciones judiciales una vulneración autónoma del derecho fundamental, sino que es el art. 43 LOTC la vía específica de impugnación que corresponde al presente recurso. La consecuencia sería que el plazo para interponerlo es de veinte días, pero deduce el fiscal de los datos que obran en la causa que la última resolución, la sentencia del Tribunal Superior de Justicia de Andalucía, fue notificada a la demandante de amparo el 18 de enero de 2019; considera entonces que el tiempo válido para interponer el recurso se extendía hasta el 16 de febrero siguiente a las 15:00 horas y, sin embargo, tuvo entrada en el Tribunal Constitucional el día 21 de febrero, es decir fuera de plazo. Sería extemporáneo incluso si se computara el plazo desde la notificación al fiscal, tres días después. Procede pues en su opinión inadmitirlo.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todo ha de señalarse sobre lo anterior que, en efecto, la sentencia del Tribunal Superior de Justicia de Andalucía fue notificada a la representación de la demandante de amparo el día 18 de enero de 2019, pero aun aceptando esa fecha como la de referencia, resulta que el plazo de veinte días no terminaría el día 16 de febrero siguiente, como sostiene el fiscal, sino el día 18 a las 15:00 horas. Pero como se razona a continuación, esta diferencia no es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recordarse que el plazo de interposición del recurso de amparo es “de caducidad, improrrogable y no susceptible de suspensión y, por consiguiente, de inexorable cumplimiento”, por lo que no consiente prolongaciones artificiales ni puede quedar al arbitrio de las partes (entre muchas, SSTC 85/2004, de 10 de mayo, FJ 2, y 41/2009, de 9 de febrero, FJ 3). Ahora bien, para la determinación del concreto plazo de interposición del recurso de amparo es imprescindible analizar, primero, la naturaleza de la decisión que ha originado la queja de la recurrente, para dilucidar si se trata de un acto administrativo impugnable a través de la vía del art. 43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 al que se imputa la lesión del derecho fundamental proclamado en el art. 14 CE emana de la agencia pública empresarial sanitaria Costa del Sol. Sin necesidad ahora de un estudio minucioso de la naturaleza jurídica de la Agencia ni de los actos que realiza, basta atender a que se trata de una entidad de Derecho público adscrita a la Consejería de Salud de la Junta de Andalucía, entre cuyas funciones está la gestión y administración del hospital Costa del Sol de Marbella [art. 6 b) 1 de los estatutos de la Agencia, aprobados por el Decreto 98/2011, de 19 de abril (“Boletín Oficial de la Junta de Andalucía” núm. 83, de 29 de abril)], el centro hospitalario en que presta sus servicios la recurrente en amparo. La agencia, pese a tener naturaleza pública, se rige por el Derecho privado en todos los actos que realiza, salvo los relacionados con la formación de la voluntad de sus órganos y con el ejercicio de las potestades administrativas que tiene atribuidas (arts. 9, 10 y 11 de la Ley del Parlamento de Andalucía 1/2011, de 17 de febrero, de reordenación del sector público de Andalucía; y arts. 30 y 31 de los estatutos de la Agencia). En consonancia, la agencia se rige por las normas procesales comunes sobre competencia y jurisdicción “aplicables a las personas de Derecho privado”, con las especialidades que pudieran proceder en virtud de su naturaleza de entidad de Derecho público (art. 31.1 de sus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inicialmente cuestionada, del director gerente de la agencia pública empresarial sanitaria Costa del Sol, no es fruto del ejercicio por la Agencia de potestades administrativas, sino que se trata de un acto de gestión del personal laboral empleado en los hospitales que tiene adscritos la agencia empresarial, acto regido por el estatuto de los trabajadores y por el convenio colectivo de la empresa. Por consiguiente, no estamos ante un recurso de amparo del art. 43 LOTC (contra actos de las administraciones públicas), sino que debe quedar encuadrado en el art. 44 LOTC ya que en la actuación controvertida la Agencia intervino como empresa empleadora, sin ejercer potestad pública alguna (potestad de imperio), sino desarrollando las facultades de orden jurídico-privado que le reconoce el ordenamiento laboral (en sentido similar, las SSTC 6/1988, de 21 de enero, FJ 1, y 26/2013, de 11 de febrero,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aunque la lesión la haya causado originariamente la agencia demandada, es a los órganos judiciales a quienes hubiera correspondido (art. 53.2 CE) tutelar el derecho reconocido en el art. 14 CE; de modo que, al confirmar la decisión adoptada por la empleadora, es a ellos a quienes resulta imputable la lesión denunciada. Son las resoluciones judiciales el acto del poder público aquí impugnado, respecto de las cuales opera el plazo de interposición de treinta días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la sentencia del Tribunal Superior de Justicia de Andalucía fue notificada a la demandante de amparo el 18 de enero de 2019, el plazo de treinta días expiraba el 4 de marzo siguiente a las 15:00 horas; y como el recurso tuvo entrada en el Tribunal Constitucional el día 21 de febrero, fue presentado dentro del plazo. No hay extemporaneidad y el óbice de procedibilidad opuesto por el Ministerio Fiscal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jurisprudencia establecida en la STC 79/2020, de 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señalado en el anterior fundamento jurídico 1, el objeto del presente recurso de amparo es idéntico al resuelto por el Pleno de este tribunal en la STC 79/2020, de 2 de julio, a cuyos razonamientos es necesario remitirse.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sentencia se argumentó que la fórmula de cómputo de la reducción de la jornada de trabajo por motivos de guarda legal para el cuidado de hijos menores (i) vulnera el derecho a la igualdad, ya que siendo comparable la situación subjetiva de quienes hacen un servicio de guardia de idéntica duración, entonces carece de justificación objetiva y razonable que se genere un descanso retribuido diferenciado, derivado de la realización de unas guardias que, aun en número menor por haber una reducción de jornada por el cuidado de hijos menores, son de la misma duración que para el resto de los trabajadores; y (ii) vulnera la prohibición de discriminación indirecta por razón de sexo porque, aunque la fórmula de cómputo es formalmente neutra, supone un trato peyorativo en las condiciones de trabajo de un número mayor de mujeres que de hombres, consecuencia del ejercicio de un derecho asociado con la maternidad como es el derecho a la reducción de jornada para el cuidado de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 estimarse el presente recurso de amparo por vulneración del art. 14 CE, lo que ha de llevar consigo la anulación de las resoluciones judiciales impugnadas, con retroacción de actuaciones al momento inmediatamente anterior al pronunciamiento de la primera de ellas, para que se adopte una nueva resolución respetuosa con el derecho fundamental reconocido, sin que proceda realizar pronunciamiento alguno en este momento respecto de la solicitud del reconocimiento de una indemnización por la vulneración declarada.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Mónica López del Castillo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igualdad ante la ley y la prohibición de discriminación indirecta por razón de sexo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la sentencia del Juzgado de lo Social núm. 1 de Málaga de 18 de mayo de 2018, dictada en el procedimiento núm. 135-2018, y de la sentencia de la Sala de lo Social del Tribunal Superior de Justicia de Andalucía, sede de Málaga, de 16 de enero de 2019, dictada en el recurso de suplicación núm. 1717-2018.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resoluciones para que el órgano judicial adopte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