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3362-2019 ha sido promovido por doña María Victoria Delgado Blanco, representada por el procurador de los tribunales don Manuel María Martínez de Lejarza Ureña y defendida por el abogado don Jesús Manuel Guzmán Ruiz. El recurso fue interpuesto contra la sentencia del Juzgado de lo Social núm. 7 de Málaga, de 31 de julio de 2018, que desestimó en el procedimiento núm. 98-2018 la demanda de la recurrente en materia de reducción de jornada, a la que acumuló acción de daños y perjuicios y reclamación de tutela de derechos fundamentales y libertades públicas; y la sentencia de la Sala de lo Social del Tribunal Superior de Justicia de Andalucía, sede de Málaga, de 10 de abril de 2019, que desestimó el recurso de suplicación núm. 2019-2018 formulado contra la anterior resolución por la demandante de amparo. Ha comparecido y formulado alegaciones la agencia pública empresarial sanitaria Costa del Sol, representada por la procuradora de los tribunales doña Úrsula Cabezas Manjavacas y asistida por el letrado don Andrés Daniel Sedeño Ferrer.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2019, el procurador de los tribunales don Manuel María Martínez de Lejarza Ureña, en nombre y representación de doña María Victoria Delgado Blanco,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sucintamente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trabaja como médico del servicio de urgencias adscrita al turno rotatorio (turnos de facultativos de urgencias) en el hospital Costa del Sol de Marbella (Málaga), gestionado por la agencia pública empresarial sanitaria Costa del Sol. La jornada anual ordinaria para los médicos de urgencias es de 1523 horas (siete horas al día), a la que se suman 440 horas más en concepto de jornada anual complementaria por realización de guardias (cuarenta y cuatro guardias de diez horas cada una). Estas guardias son obligatorias y generan un descanso en el día posterior “saliente de guardia” de veinticuatro horas, de las cuales computan como trabajadas siete horas por saliente. En las 1523 horas anuales de jornada están incluidas las horas realmente realizadas y las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solicitó la reducción de jornada en un 33 por 100 por cuidado de sus dos hijos menores (art. 37.6 del texto refundido de la Ley del estatuto de los trabajadores y art. 23 del convenio colectivo de la agencia pública empresarial sanitaria Costa del Sol); es decir, pidió realizar una jornada del 67 por 100, optando por una reducción anual. Obtuvo de la empresa la reducción pero mediante un cálculo tal que no se le ha minorado el número de horas trabajadas en cada jornada diaria o en cada guardia, sino el número anual de días de trabajo y de guardias: en lugar de cuarenta y cuatro realiza treinta guardias (el 33 por 100), pero siguen siendo guardias de diez horas cada una y cada jornada diaria sigue siendo también de duración normal, siete horas, aunque el número de días de trabajo al cabo del año es un 33 por 100 menor. La empresa calculó su jornada reducida en 879,71 horas al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el cálculo de su jornada realizado por la empresa y tras ver desestimada la reclamación previa, la recurrente formuló demanda en vía judicial, en materia de reducción de jornada en la que acumuló la acción de daños y perjuicios y la reclamación de tutela de derechos fundamentales y libertades públicas. La disconformidad se fundaba en que el cálculo infringía el art. 14 CE por constituir una desigualdad de trato entre trabajadoras a tiempo completo y trabajadoras con jornada reducida, pues se computaba de forma diferente los salientes de guardia aplicando a su caso una doble reducción. A su juicio el cálculo de la empresa consiste en que los salientes de guardia se reducen también en un 33 por 100; es decir, la empresa aplica ese porcentaje de reducción de jornada al descanso retribuido por saliente. Lo discutido es pues el cómputo de horas que se tienen como de trabajo efectivo en los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mediante sentencia del Juzgado de lo Social núm. 7 de Málaga, de 31 de julio de 2018. Señaló el juzgado que la discrepancia derivaba de la forma de calcular la jornada reducida, que el cálculo hecho por la empresa era correcto y por ello excluía en esta un ánimo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del juzgado se formuló recurso de suplicación en el que se pedía el reconocimiento de la infracción del art. 14 CE y la condena a una indemnización por daños derivados de la lesión de derecho fundamental. El recurso fue desestimado mediante la sentencia de la Sala de lo Social del Tribunal Superior de Justicia de Andalucía, sede de Málaga, de 10 de abril de 2019, que confirmó lo decidido en la instancia convalidando el cálculo hecho por la parte demandada y señalando que se llegaba a idéntica solución que la empresa, ya se calculara la jornada reducida en cómputo anual o en cómputo diario, con reflejo tanto en las horas habituales de trabajo como en las guardias realizadas el porcentaje aplicado. Al no apreciar discriminación en el cálculo, tampoco apreció infracción del art. 14 CE y desestimó la petición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igualdad de trato y a la no discriminación (art. 14 CE). Considera que se produce la vulneración al calcular la empresa la jornada de las trabajadoras con reducción de jornada por cuidado de hijos, en tanto que obtienen una remuneración o compensación menor que el resto de los trabajadores por el mismo número de horas de guardia realizadas. La discrepancia deriva de la forma en que la empresa calcula la jornada efectiva en relación con los salientes de guardia. A un trabajador a tiempo completo cada guardia le genera el derecho a que se le computen como de trabajo siete horas de descanso; pero de los cálculos por la empresa de los salientes de guardia resulta que a la recurrente, debido a su reducción de jornada, cada guardia (de diez horas, duración igual que la de los trabajadores a tiempo completo) no le genera esas siete horas retribuidas, sino solo 4,69 al aplicarse también a estas horas la reducción del 33 por 100. Ciertamente la empresa toma la jornada anual, esto es las 1523 horas anuales de trabajo, y resta los salientes de guardia; pero no toma los salientes que corresponderían al 100 por 100 (a razón de siete horas por saliente, 308 horas) sino los que corresponden al 67 por 100 (210 horas). Realizado ese cálculo en que los salientes han sido objeto de reducción, se aplica la reducción de jornada del 33 por 100 solicitada por la trabajadora, lo que supone reducir otra vez más los salientes de guardia. Por el mismo trabajo (diez horas de guardia) la recurrente percibe una retribución menor como consecuencia de haber ejercido su derecho a la conciliación de la vida familiar y laboral. Además, hay discriminación indirecta por razón de sexo pues afecta especialmente a las mujeres, que forman proporcionalmente el colectivo más numeroso que solicita la reducción de jornada por tales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2019 de la Sección Segunda de este tribunal, se admitió a trámite el recurso de amparo apreciando como causa de especial trascendencia constitucional (art. 50.1 LOTC) que el recurso plantea un problema o afecta a una faceta de un derecho fundamental sobre el que no hay doctrina de este tribunal [STC 155/2009, FJ 2 a)] y puede dar ocasión al tribunal para aclarar o cambiar su doctrina, como consecuencia de un proceso de reflexión interna [STC 155/2009, FJ 2 b)]; y se dirigió comunicación a los órganos judiciales para que remitieran certificación o fotocopia adverada de las actuaciones y emplazamiento para que pudieran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21 de enero de 2020, la representación de la demandante de amparo formula alegaciones, que ahora ratifica; aporta además un informe pericial que analiza matemáticamente la discriminación que produce el cómputo de las guardias de las trabajadoras con reducción de jornada por cuidado de hijo y/o familiares. Dice el escrito de la recurrente que hay trabajadoras con una reducción del 50, otras del 20 y otras del 33 por 100; pero en todos los casos el derecho quebrantado es el de igualdad. Se trata de forma diferente, en perjuicio de la recurrente, situaciones que deberían no discriminar a la persona que reclama por su derecho. Pide la estimación del recurso y que se reconozca el derecho fundamental a la igualdad y a la no discriminación con la declaración de no ser ajustadas a la Constitución las sentencias recurridas por haberlo vulnerado, y en consecuencia que se declare su nulidad y se ordene a los órganos judiciales a estar y pasar por lo declarado en el sentido de que la forma de cálculo de la reducción de jornada por la empresa en relación a los salientes de guardia quebranta el art. 14 CE, y que se imponga a la empresa el deber de indemnizar a la recurrente por el importe señalado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diciembre de 2019, la procuradora doña Úrsula Cabezas Manjavacas, actuando en nombre y representación de la agencia pública empresarial sanitaria Costa del Sol, comparece a fin de personarse en el presente procedimiento. Pide la desestimación del recurso alegando, en síntesis, que la controversia planteada queda ceñida a una cuestión de cálculo matemático, por una interpretación diferente del número de horas efectivas de trabajo, que no incide en el derecho fundamental invocado. Habría sido preciso que el acto empresarial hubiera tenido la intención de discriminar a la demandante o, que sin tenerla, hubiera incidido en la esencia del derecho fundamental. Tales circunstancias no se han producido dado que el acto discutido no resulta arbitrario (son posibles varias interpretaciones para realizar el cálculo), y ni aun calificándose de erróneo ha afectado al derecho de la recurrente a solicitar la reducción de jornada y a no ser discriminada por ello, pues en ningún momento se le ha denegado tal derecho. Sostiene que la demandante está exigiendo un derecho a la diferenciación; es decir, que por tener jornada reducida se le dispense un trato distinto del dado a los demás trabajadores. Insiste en que la forma de cómputo practicada por la empresa no resulta errónea, sino coherente con la reducción de jornada solicitada y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registró su escrito de alegaciones el 3 de febrero de 2020. Hace una observación previa en cuanto al objeto de enjuiciamiento: aunque el amparo se dirige expresamente contra las sentencias del juzgado de lo social y del Tribunal Superior de Justicia, resulta que las resoluciones judiciales se limitan a confirmar las de un ente de la administración pública, integrado en la Consejería de Sanidad de la Junta de Andalucía; por tanto, lo que se imputa a las sentencias no es haber vulnerado por sí mismas los derechos a la igualdad ante la ley y a no sufrir discriminación por razón de sexo, sino no haber reparado la vulneración ya producida en las resoluciones del ente público. Por ello, el fiscal estima aplicable la doctrina de la STC 15/2011, de 28 febrero, FJ 2, y entonces se trata de un recurso de los previstos en el art. 43 LOTC, con plazo para interponer el recurso de amparo de veinte días. Según los datos en la causa, la última resolución (la sentencia del Tribunal Superior de Justicia de 10 de abril de 2019) fue notificada a la demandante el 12 de abril, por lo cual el fiscal estima que el tiempo válido para interponer el recurso se extendía hasta el 20 de mayo siguiente, a las 15:00 horas; pero el recurso de amparo tuvo entrada en el Tribunal Constitucional el 29 de mayo, y entonces está presentado fuera de plazo; incluso lo estaría si se computase el plazo desde la notificación al fiscal, tres días después. Procede pues acordar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caso de que se considerara que el recurso ha sido presentado en plazo el fiscal analiza el fondo del asunto, entendiendo que, si se estima el recurso, deberán también anularse las resoluciones administrativas. Tras exponer la doctrina constitucional aplicable, argumenta que la cuestión a dilucidar es si resulta contrario al art. 14 CE que, trabajando los colectivos sin reducción de jornada y los que sí la tienen en los servicios de guardia durante diez horas ininterrumpidas en la misma franja horaria, sin diferencia alguna en el servicio que prestan en cada guardia, sin embargo se reduzcan las horas de descanso remunerado (a quienes tienen reconocida reducción de jornada) en la misma proporción en que tienen reducida su jornada ordinaria. Afirma que el sistema de cálculo utilizado por la empresa implica una doble reducción; no solo se reduce en un 33 por 100 el número de guardias anuales, sino que después se vuelve a aplicar una reducción del 33 por 100 al calcular las horas de descanso retribuido por cada saliente de guardia al no retribuir a la trabajadora siete horas por guardia (como ocurre con los trabajadores a tiempo completo), sino solo 4,69 horas. Este cálculo obvia que las guardias tienen para todos la misma duración (diez horas), sean realizadas por trabajadores a tiempo completo o con jornada reducida, por lo que el abono del descanso por guardia no puede ser menor para los trabajadores que tienen reducción de jornada, fuera de cada servicio de guardia concreto, porque en cada una de las guardias que realizan su jornada es completa al trabajar las mismas diez horas que el resto. El fiscal destaca que el abono de horas de descanso remunerado por saliente está determinado por las horas de la jornada de guardia, es una remuneración por la penosidad de la guardia, por lo que si una jornada de guardia no se reduce (es una jornada completa de diez horas) entonces no hay reducción de la penosidad y, en consecuencia, no hay justificación para reducir el número de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la diferencia de trato resulta injustificada porque ambos colectivos, con y sin reducción de jornada, trabajan las mismas horas durante la jornada de guardia pero, sin embargo, con el cálculo aplicado por la empresa se abonan a la recurrente y a los demás trabajadores con reducción de jornada menos horas de descanso remunerado por guardia que a los trabajadores con jornada completa. Además, el fiscal considera que también concurre en este caso una discriminación indirecta por razón de sexo ya que, siendo las mujeres quienes principalmente se encargan de la atención de los menores, son las que en mayor medida utilizan la reducción de jornada para atender el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igualdad y a la prohibición de discriminación (art. 14 CE) la decisión judicial de confirmar el cómputo de reducción de la jornada de trabajo por motivos de guarda legal para el cuidado de hijos menores, cómputo conforme al cual, aun haciéndose una guardia con la misma duración y condiciones que el resto de trabajadores, sin embargo, se produce también una reducción del número de horas de descanso retribuido computables por cada saliente de guardia, una reducción que ha de ser proporcional a la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idéntico al resuelto por el Pleno de este tribunal en la STC 79/2020, de 2 de julio (“Boletín Oficial del Estado” núm. 207, de 31 de julio), a cuyos razonamientos sería necesario remitirse. No obstante, ha de examinarse antes el óbice de procedibilidad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procedibilidad por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dar respuesta al óbice de procedibilidad opuesto por el fiscal. Pese a pedir la estimación del amparo caso de ser el recurso considerado admisible, objeta a la admisión a trámite el haber sido presentado fuera de plazo. Observa primero que el amparo debe considerarse formulado por la vía del art. 43 LOTC pues aunque se dirige expresamente contra las sentencias del juzgado de lo social y del Tribunal Superior de Justicia, resulta de la demanda y de la documentación aportada que las resoluciones judiciales se limitan a confirmar las de la agencia pública empresarial, por tanto, en aplicación de la doctrina constitucional que cita (STC 15/2011, FJ 2) el objeto del amparo es una actuación administrativa y no nos encontramos ante un recurso de los contemplados en el art. 44 LOTC, tampoco de los calificados como mixtos ya que no se imputa a las resoluciones judiciales una vulneración autónoma del derecho fundamental, sino que es el art. 43 LOTC la vía específica de impugnación que corresponde al presente recurso. La consecuencia sería que el plazo para interponerlo es de veinte días, pero deduce el fiscal de los datos que obran en la causa que la última resolución, la sentencia del Tribunal Superior de Justicia de Andalucía, fue notificada a la demandante de amparo el 12 de abril de 2019; considera entonces que el tiempo válido para interponer el recurso se extendía hasta el 20 de mayo siguiente, a las 15:00 horas; sin embargo, tuvo entrada en el Tribunal Constitucional el día 29 de mayo, es decir fuera de plazo. Sería extemporáneo incluso si se computara el plazo desde la notificación al fiscal, tres días después. Procede pues, en su opinión, inadmitirlo.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el plazo de interposición del recurso de amparo es “de caducidad, improrrogable y no susceptible de suspensión y, por consiguiente, de inexorable cumplimiento”, por lo que no consiente prolongaciones artificiales ni puede quedar al arbitrio de las partes (entre muchas, SSTC 85/2004, de 10 de mayo, FJ 2, y 41/2009, de 9 de febrero, FJ 3). Ahora bien, para la determinación del concreto plazo de interposición del recurso de amparo es imprescindible analizar, primero, la naturaleza de la decisión que ha originado la queja de la recurrente, para dilucidar si se trata de un acto administrativo impugnable a través de la vía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al que se imputa la lesión del derecho fundamental proclamado en el art. 14 CE emana de la agencia pública empresarial sanitaria Costa del Sol. Sin necesidad ahora de un estudio minucioso de la naturaleza jurídica de la Agencia ni de los actos que realiza, basta atender a que se trata de una entidad de Derecho público adscrita a la Consejería de Salud de la Junta de Andalucía, entre cuyas funciones está la gestión y administración del hospital Costa del Sol de Marbella [art. 6 b) 1 de los estatutos de la agencia, aprobados por el Decreto 98/2011, de 19 de abril (“Boletín Oficial de la Junta de Andalucía” núm. 83, de 29 de abril)], el centro hospitalario en que presta sus servicios la recurrente en amparo. La agencia, pese a tener naturaleza pública, se rige por el Derecho privado en todos los actos que realiza, salvo los relacionados con la formación de la voluntad de sus órganos y con el ejercicio de las potestades administrativas que tiene atribuidas (arts. 9, 10 y 11 de la Ley del Parlamento de Andalucía 1/2011, de 17 de febrero, de reordenación del sector público de Andalucía; y arts. 30 y 31 de los estatutos de la Agencia). En consonancia, la Agencia se rige por las normas procesales comunes sobre competencia y jurisdicción “aplicables a las personas de Derecho privado”, con las especialidades que pudieran proceder en virtud de su naturaleza de entidad de Derecho público (art. 31.1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inicialmente cuestionada, del director gerente de la agencia pública empresarial sanitaria Costa del Sol, no es fruto del ejercicio por la agencia de potestades administrativas, sino que se trata de un acto de gestión del personal laboral empleado en los hospitales que tiene adscritos la agencia empresarial, acto regido por el estatuto de los trabajadores y por el convenio colectivo de la empresa. Por consiguiente, no estamos ante un recurso de amparo del art. 43 LOTC (contra actos de las administraciones públicas), sino que debe quedar encuadrado en el art. 44 LOTC ya que en la actuación controvertida la agencia intervino como empresa empleadora, sin ejercer potestad pública alguna (potestad de imperio), sino desarrollando las facultades de orden jurídico-privado que le reconoce el ordenamiento laboral (en sentido similar, las SSTC 6/1988, de 21 de enero, FJ 1, y 26/2013, de 11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la lesión la haya causado originariamente la agencia demandada, es a los órganos judiciales a quienes ha correspondido (art. 53.2 CE) tutelar el derecho reconocido en el art. 14 CE; de modo que, al confirmar la decisión adoptada por la empleadora, es a ellos a quienes les es imputable la lesión denunciada. Son las resoluciones judiciales el acto del poder público aquí impugnado, respecto de las cuales opera el plazo de interposición de treinta días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sentencia del Tribunal Superior de Justicia de Andalucía fue notificada a la demandante de amparo el 12 de abril de 2019, el plazo de treinta días expiraba el 3 junio siguiente a las 15:00 horas; y, como el recurso tuvo entrada en el Tribunal Constitucional el día 29 de mayo, fue presentado dentro del plazo. No hay extemporaneidad y el óbice de procedibilidad opuesto por el Ministerio Fiscal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establecida en la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señalado en el anterior fundamento jurídico 1, el objeto del presente recurso de amparo es idéntico al resuelto por el Pleno de este tribunal en la STC 79/2020, de 2 de julio, a cuyos razonamientos es necesario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se argumentó que la fórmula de cómputo de la reducción de la jornada de trabajo por motivos de guarda legal para el cuidado de los hijos menores (i) vulnera el derecho a la igualdad, ya que siendo comparable la situación subjetiva de quienes hacen un servicio de guardia de idéntica duración, entonces carece de justificación objetiva y razonable que se genere un descanso retribuido diferenciado, derivado de la realización de unas guardias que, aun en menor número por haber una reducción de jornada por el cuidado de hijos menores, son de la misma duración que para el resto de los trabajadores; y (ii) vulnera la prohibición de discriminación indirecta por razón de sexo porque, aunque la fórmula de cómputo es formalmente neutra, supone un trato peyorativo en las condiciones de trabajo de un número mayor de mujeres que de hombres, consecuencia del ejercicio de un derecho asociado con la maternidad como es el derecho a la reducción de jornada para el cuidado de hijos; puede comprobarse cómo este segundo aspecto queda claramente reflejado en el fundamento de derecho cuarto de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estimarse el presente recurso de amparo por vulneración del art. 14 CE, lo que ha de llevar consigo la anulación de las resoluciones judiciales impugnadas con retroacción de actuaciones al momento inmediatamente anterior al pronunciamiento de la primera de ellas para que se adopte una nueva resolución respetuosa con el derecho fundamental reconocido, sin que proceda realizar pronunciamiento alguno en este momento respecto de la solicitud del reconocimiento de una indemnización por la vulneración declarada.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Victoria Delgado Blanco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Social núm. 7 de Málaga de 31 de julio de 2018, dictada en el procedimiento núm. 98-2018, y de la sentencia de la Sala de lo Social del Tribunal Superior de Justicia de Andalucía, sede de Málaga, de 10 de abril de 2019, dictada en el recurso de suplicación núm. 2019-2018.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para que el órgano judicial adopte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