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3562-2019, promovido por Euroinversiones Inmobiliarias Costa Sur, S.L., representada por la procuradora de los tribunales doña Blanca Berriatua Horta y bajo la dirección del letrado don Marcelino Gilabert García, contra los autos de 21 de septiembre de 2018 y de 22 de abril de 2019, dictados por el Juzgado de Primera Instancia e Instrucción núm. 5 de Lorca, en el procedimiento de ejecución hipotecaria núm. 291-2018. Han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junio de 2019, la entidad Euroinversiones Inmobiliarias Costa Sur, S.L., representada por la procuradora de los tribunales doña Blanca Berriatua Horta y bajo la dirección del letrado don Marcelino Gilabert García, interpuso recurso de amparo contra los autos de 21 de septiembre de 2018 y de 22 de abril de 2019, dictados por el Juzgado de Primera Instancia e Instrucción núm. 5 de Lorca, en el procedimiento de ejecución hipotecaria núm. 291-2018, por los que, respectivamente, se inadmitó por extemporánea la demanda de oposición formulada y se confirmó esta última decisión, tras desestimarse el recurso de reposición interpuesto frente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la pretensión planteada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5 de Lorca se sigue procedimiento de ejecución hipotecaria núm. 291-2018 promovido por la entidad Banco de Sabadell, S.A., frente a las sociedades Euroinversiones Inmobiliarias Costa Sur, S.L., en calidad de prestataria e hipotecante, y Penrei Inversiones, S.L., en calidad de titular registral de un derecho de uso y disfrute sobre el inmueble hipotecado, la finca registral 43.290 del Registro de la Propiedad núm. 3 de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9 de mayo de 2018 se acordó despachar ejecución frente a las sociedades demandadas por la cantidad de 2248,32 € de principal y 2400 € presupuestados inicialmente para intereses y costas. El servicio de notificaciones de la Fábrica Nacional de Moneda y Timbre remitió a la demandante de amparo, a través de la dirección electrónica habilitada, un aviso de notificación del citado auto y el decreto de la misma fecha que le fueron comunicados por dicho medio el 11 de mayo de 2018. Informa que la notificación estará disponible hasta el 26 de junio, día en el que la recurrente de amparo accede efectivamente a la página web y a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legal de Euroinversiones Inmobiliarias Costa Sur, S.L. presentó escrito de oposición a la ejecución despachada con fecha 10 de julio de 2018. Por auto de 21 de septiembre de 2018 se acordó su inadmisión por considerar la pretensión extemporánea, tomando como fecha de notificación el 11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sociedad mercantil recurrente interpuso recurso de reposición contra el auto de inadmisión alegando, en síntesis, que las actuaciones de notificación y requerimiento no habían sido realizadas el día 11 de mayo de 2018, sino el 26 de junio siguiente, fecha en la que accedió a la web y procedió a su descarga, y que la comunicación remitida a través de la dirección electrónica habilitada no puede entenderse más que un aviso de puesta a disposición o descarga de su contenido durante un plazo determinado (en el caso desde el 11 de mayo hasta el 26 de junio de 2018), pues entenderlo de otro modo, además de infringir los arts. 135, 152, 160, 162 de la Ley de enjuiciamiento civil (LEC), vulnera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su tramitación, el recurso de reposición fue desestimado por auto de 22 de abril de 2019. Según esta resolución, la recurrente tiene la condición de persona jurídica y, por tanto, está obligada a relacionarse con la administración de Justicia por medios electrónicos, de conformidad con lo previsto en la disposición transitoria cuarta de la Ley 42/2015, de 5 de octubre, de reforma de la Ley 1/2000, de 7 de enero, de enjuiciamiento civil, así como en los arts. 14.2 de la Ley 39/2015 y 273.3 LEC. Según el auto, en el presente caso “consta que la notificación se puso a disposición de las recurrentes en fecha 11 de mayo de 2018, no accediendo al contenido hasta el día 26 de junio de 2018 (fuera de los tres días que establece la normativa procesal), presentando el escrito de oposición a la ejecución en fecha 10 de julio de 2018, claramente fuera del plazo legalmente establecido en el art. 556.1 de la LEC (dentro de los diez días siguientes al de la notificación del auto despachando ejecución) y siendo que, conforme al art. 136 de la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se queja en su recurso de la vulneración de su derecho a la tutela judicial efectiva sin indefensión (art. 24.1 CE) en su vertiente de acceso al proceso. Considera que con la interpretación ofrecida en el auto objeto de impugnación, el juzgado “no ha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solo dirigido al legislador, sino también al intérprete, obligándole a promover la defensa mediante la correspondiente contradicción, tal y como reconoce la sentencia 37/1984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solicita por medio de segundo otrosí la suspensión de la continuación del procedimiento de ejecución hipotecaria alegando que “con la celebración de subasta y la eventual adjudicación a terceros, pueden hacer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enero de 2020 la Sección Segunda de este tribunal acordó admitir a trámite el recurso de amparo y dirigir comunicación al Juzgado de Primera Instancia e Instrucción núm. 5 de Lorca, a fin de que, en plazo que no exceda de diez días, remitiera certificación o fotocopia adverada de las actuaciones correspondientes a los autos de ejecución hipotecaria y emplazara por el mismo plazo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acordó formar la oportuna pieza para la tramitación del incidente de suspensión. Seguidos los trámites correspondientes, la Sala Primera de este tribunal, mediante ATC 28/2020, de 24 de febrero, deniega la suspensión cautelar solicitada y ordena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17 de julio de 2020, el Ministerio Fiscal presentó sus escritos de alegaciones en los que termina solicitando que se estime el recurso, se declare vulnerado el derecho a la tutela judicial efectiva sin indefensión (at. 24.1 CE) de la demandante, se declare la nulidad de todo lo actuado desde la notificación efectuada electrónicamente del auto despachando ejecución, y se ordene retrotraer las actuaciones al momento inmediatamente anterior a dicha notificación para que se dé a la recurrente posibilidad de formular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las partes recurrentes, argumenta el fiscal ante el Tribunal Constitucional que las resoluciones judiciales impugnadas vulneran el derecho a la tutela judicial efectiva (art. 24.1 CE) de la demandante de amparo. Con cita de la STC 40/2020, cuyo contenido es parcialmente trascrito, efectúa un exhaustivo repaso por la doctrina del Tribunal Constitucional sobre los actos de comunicación procesal con expresa referencia a las SSTC 6/2019, de 17 de enero; 32/2019, de 28 de febrero; 47/2019, de 8 de abril; 19/2020, de 10 de febrero, y 43/2020, de 9 de marzo, para concluir solicitando el otorgamiento del amparo en los términos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28 de julio de 2020 Euroinversiones Inmobiliarias Costa Sur, S.L., por medio de su representación procesal, presentó escrito en el que además de remitirse a las alegaciones formuladas en el recurso de amparo presentado y reiterar las pretensiones en el mismo formuladas, reproduce parte de la fundamentación de la STC 40/2020,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septiembre de 2020,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impugnación de los autos de 21 de septiembre de 2018 y de 22 de abril de 2019, dictados por el Juzgado de Primera Instancia e Instrucción núm. 5 de Lorca, en el procedimiento de ejecución hipotecaria núm. 291-2018. Según la entidad mercantil demandante de amparo, una interpretación irrazonable de la legislación procesal le habría privado injustamente de su derecho a formular oposición a la ejecución hipotecaria. Tratándose de un primer emplazamiento, el requerimiento de pago y alternativo derecho a oponerse a la demanda ejecutiva debió realizarse de manera personal en su domicilio social con entrega en papel de la documentación, y no mediante el servicio de notificaciones electrónicas y de dirección electrónica habilitada de la Fábrica Nacional de Moneda y Timbre. El órgano judicial habría incumplido su obligación de asegurar, no ya la legalidad formal de los actos de comunicación, sino el cumplimiento efectivo de su finalidad constitucional. Todo ello constituiría una vulneración del derecho fundamental de la demandante de amparo a la tutela judicial efectiva sin indefensión (art. 24 CE). Solicita, en consecuencia, la anulación de las resoluciones indicadas, así como la retroacción al momento procesal oportuno, previo al dictado del auto de 21 de septiembre de 2018, a fin de que el juzgado admita a trámite su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 la demanda de amparo y la nulidad de todo lo actuado desde la notificación electrónica del auto de despacho de la ejecución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STC 40/2020, de 27 de febrero, del Pleno del tribunal, estimó un recurso de amparo basado en los mismos motivos, interpuesto por la misma entidad mercantil y dirigido contra autos de contenido muy similar de otro juzgado de Lorca. Corresponde, en consecuencia, dar por reproducidos los fundamentos jurídicos de aquella sentencia y declarar por ello que los autos de 21 de septiembre de 2018 y 22 de abril de 2019 del Juzgado de Primera Instancia e Instrucción núm. 5 de Lorca han vulnerado el derecho a la tutela judicial efectiva de la recurrente en amparo (art. 24.1 CE). Como en aquel caso, la estimación del amparo trae consigo la nulidad de los autos recurridos, así como de todo lo actuado en el procedimiento hipotecario a quo desde el momento en que se proveyó al emplazamiento de la entidad mercantil solicitante de amparo a través de la dirección electrónica habilitada.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Euroinversiones Inmobiliarias Costa Sur,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21 de septiembre de 2018 y 22 de abril de 2019 dictados por el Juzgado de Primera Instancia e Instrucción núm. 5 de Lorca en el proceso de ejecución hipotecaria núm. 291-2018,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referido juzgado de forma que resulte respetuoso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