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18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6091-2019, promovido por la entidad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2019, la entidad Penrei Inversiones, S.L., representada por la procuradora de los tribunales doña Blanca Berriatua Horta y bajo la dirección de la letrada Dña. Anju Nirmala Benavent Rodríguez, interpuso recurso de amparo contra los autos de 21 de septiembre de 2018 y de 10 de septiembre de 2019, dictados por el Juzgado de Primera Instancia e Instrucción núm. 5 de Lorca, en el procedimiento de ejecución hipotecaria núm. 385-2018,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385-2018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43.361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7 de junio de 2018 se acordó despachar ejecución frente las sociedades demandadas por la cantidad de 8199,12 € de principal y 4510 €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13 de junio de 2018. En dicha comunicación se informa que la notificación estará disponible hasta el 29 de julio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Penrei Inversiones, S.L., presentó escrito de oposición a la ejecución despachada con fecha 25 de julio de 2018. Por auto de 21 de septiembre de 2018 se acordó su inadmisión por considerar la pretensión extemporánea, tomando como fecha de notificación el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13 de junio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13 de junio hasta el 29 de julio de 2018), pues entenderlo de otro modo, además de infringir los arts. 135, 152, 160, y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10 de septiembre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en el presente caso “consta que la notificación se puso a disposición de las recurrentes en fecha 13/06/2018, no accediendo al contenido hasta el día 24/07/2018 (fuera de los tres días que establece la normativa procesal), presentando los escritos de oposición a la ejecución en fecha 25/07/2018,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2020 la Sección Primera de este tribunal acordó no admitir a trámite el recurso de amparo por no apreciar en el mismo la especial trascendencia constitucional que, como condición para su admisión, requiere el art. 50.1.b) de la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9 de julio de 2020, interpuso recurso de súplica ex art. 50.3 de la Ley Orgánica del Tribunal Constitucional (LOTC) contra la providencia de 15 de junio de 2020, en el que interesa que se deje sin efecto la providencia indicada, dictándose otra en su lugar admitiendo el recurso de amparo. El Ministerio Fiscal argumenta en su recurso que el contenido de la demanda es idéntico al de otras muchas interpuestas por la misma demandante o por Euroinversiones Inmobiliarias Costa Sur,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 Sala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10 de julio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21 de julio de 2019,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interpuesto por el Ministerio Fiscal y dejar sin efecto, en consecuencia la providencia de esta Sección de 15 de junio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 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debe indicarse, siguiendo la línea argumental del Ministerio Fiscal, que las mercantiles referidas —Euroinversiones Inmobiliarias Costa Sur, S.L., y Penrei Inversiones, S.L.,— en relación con las resoluciones dictadas por diversos juzgados de primera instancia e instrucción de Lorca, en otros tantos procedimientos de ejecución hipotecaria, han interpuesto desde el año 2018 hasta la fecha, aproximadamente un centenar de recursos de amparo, en los que se cuestionaba desde el prisma del derecho a la tutela judicial efectiva el emplazamiento efectuado mediante la utilización de la dirección electrónica habilitada. Los motivos alegados por las sociedades recurrentes para sustentar la especial trascendencia constitucional guardan sustancial identidad con el que fue considerado en la originaria STC 47/2019, de 8 de abril [“Boletín Oficial del Estado” (“BOE”) núm. 116, de 15 de mayo de 2019] —en la que se examinó por vez primera como ratio decidendi la problemática constitucional del emplazamiento mediante medios electrónicos— y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por el Ministerio Fiscal, debe destacarse por una parte que no fue hasta que se dicta la STC 40/2020, de 27 de febrero, cuando se consideró aplicable la doctrina constitucional asentada en la STC 47/2019, de 27 de febrero (“BOE” núm. 83, de 26 de marzo de 2019) al primero del centenar de recursos de amparo interpuestos por los ejecutados —en aquél caso por Euroinversiones Inmobiliarias Costa Sur, S.L.,— y desde entonces hasta la fecha se han dictado en relación con las mismas mercantiles las SSTC 70, 73 y 75 a 77/2020, de 29 de junio y las SSTC 92 a 94/2020, de 20 de julio, todas ellas estimando recursos de amparo interpuestos con anterioridad a la fecha de interposición del presente, con cita de la STC 40/2020. Y por otra parte, como con acierto indica también el Ministerio Fiscal, con posterioridad a la inadmisión del presente recurso de amparo han sido admitidos —en concreto por providencias de 29 de junio y de 20 de julio de 2020— los recursos de amparo núms. 6502-2019, 6503-2019 y 7526-2019 y 691-2020 respectivamente, que como puede apreciarse han sido interpuestos con posterioridad a la presentación del presente recurso de amparo (registrado con el núm. 6091-2019), e incluso con anterioridad a dichas fechas —por providencias de 9 de marzo de 2020— fueron admitidos los recursos de amparo núms. 6209-2019 y 7505-2019, también interpuestos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práctica totalidad de los casos se ha apreciado como motivo de especial trascendencia constitucional (art. 50.1 LOTC), que “el recurso puede dar ocasión al tribunal para aclarar o cambiar su doctrina, como consecuencia de cambios normativos relevantes para la configuración del contenido del derecho fundamental [STC 155/2009, FJ 2, b)]”, sin que pueda afirmarse, al no constar la fecha de interposición del recurso de reposición, que el recurrente de amparo pudiera conocer y en consecuencia hacer valer la doctrina sentada en la STC 47/2019. Desde luego —dada su fecha de publicación—, ni el recurrente ni el órgano judicial pudieron conocer la específica aplicación de dicha doctrina a la serie de recursos de amparo interpuestos por los recurrentes. Tal circunstancia, unida a que la STC 40/2020 todavía no se había dictado ni publicado en el “Boletín Oficial del Estado” a la fecha en que se interpuso la presente demanda de amparo dota de especial trascendencia constitucional a este recurso, a falta en ese momento de una doctrina específica, como sostuvimos en otro caso similar en la STC 56/2013, de 11 de marzo, FJ 1. A ello se añade —como se ha indicado— que han sido admitidos apreciando la especial trascendencia constitucional recursos de amparo similares interpuestos con posterioridad al presente. Por todo ello, como hemos adelantado, debe estimarse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del Ministerio Fiscal determina que se deje sin efecto la providencia impugnada, y que se dicte otra admitiendo la demanda por concurrir la especial trascendencia constitucional apreciada en otros recursos idénticos al presentado.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15 de junio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admitiendo el recurso de amparo núm. 6091-2019, al apreciar en el mismo la especial trascendencia constitucional exigida.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