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6091-2019, promovido por Penrei Inversiones, S.L., representada por la procuradora de los tribunales doña Blanca Berriatua Horta y bajo la dirección de la letrada doña Anju Nirmala Benavent Rodriguez, contra los autos de 10 de septiembre de 2018 y de 21 de septiembre de 2019, dictados por el Juzgado de Primera Instancia e Instrucción núm. 5 de Lorca, en el procedimiento de ejecución hipotecaria núm. 385-2018, por los que, respectivamente, se inadmite por extemporánea la demanda de oposición formulada y se confirma esta última decisión, tras desestimarse el recurso de reposición interpuesto frente a ella. Ha intervenido el Ministerio Fiscal. Ha comparecido la entidad Pera Assets Designated Activity Company, actuando como sucesora procesal del banco ejecutante.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octubre de 2019, la entidad Penrei Inversiones, S.L., representada por la procuradora de los tribunales doña Blanca Berriatua Horta y bajo la dirección de la letrada doña Anju Nirmala Benavent Rodríguez, interpuso recurso de amparo contra las resoluciones referidas en el encabezamiento. La presentación de dicho escrito dio lugar al recurso de amparo núm. 6091-2019, cuyo conocimiento correspondió a la Sección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385-2018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43.361 del Registro de la Propiedad núm. 3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7 de junio de 2018 se acordó despachar ejecución frente las sociedades demandadas por la cantidad de 8199,12 € de principal y 4510 €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13 de junio de 2018. En dicha comunicación se informa que la notificación estará disponible hasta el 29 de julio del mismo año, accediendo la recurrente de amparo efectivamente a la página web y a la notificación dentro del plazo en que la misma se encontraba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25 de julio de 2018. Por auto de 21 de septiembre de 2018 se acordó su inadmisión por considerar la pretensión extemporánea, tomando como fecha de notificación el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13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13 de junio hasta el 29 de julio de 2018), pues entenderlo de otro modo, además de infringir los arts. 135, 152, 160,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de reposición fue desestimado por auto de 10 de septiembre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de 1 de octubre, del procedimiento administrativo común de las administraciones públicas (LPACAP) y 373.3 LEC. Según el auto, en el presente caso “consta que la notificación se puso a disposición de las recurrentes en fecha 13/06/2018, no accediendo al contenido hasta el día 24/07/2018 (fuera de los tres días que establece la normativa procesal), presentando los escritos de oposición a la ejecución en fecha 25/07/2018,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2020 la Sección Segunda de este tribunal acordó no admitir a trámite el recurso de amparo por no apreciar en el mismo la especial trascendencia constitucional que, como condición para su admisión, requiere el art. 50.1.b) de la Ley Orgánica del Tribunal Constitucional (STC 155/2009, de 25 de junio, FJ 2). Dicha providencia se dejó sin efecto en virtud del auto de 18 de septiembre de 2020 que estimó el recurso de súplica interpuesto contra la misma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septiembre de 2020 la Sección Segunda de este tribunal acordó admitir a trámite el recurso de amparo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De conformidad con lo dispuesto en el art. 51 LOTC, se acordó dirigir comunicación al Juzgado de Primera Instancia e Instrucción núm. 5 de Lorca, a fin de que, en el plazo de diez días, remitiera certificación o fotocopia adverada de las actuaciones correspondientes a los autos de ejecución hipotecaria núm. 385-2018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17 de noviembre de 2020, la procuradora de los tribunales doña María Claudia Munteanu, actuando en nombre y representación de la entidad Pera Assets Designated Activity Company, solicitó se tuviera a esta última como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noviembre de 2020, la secretaría de justicia de la Sala Primera de este tribunal dictó diligencia de ordenación por la que acordó tener por personada y parte en nombre y representación de Pera Assets Designated Activity Company a la procuradora doña María Claudia Munteanu y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demandante de amparo presentó sus alegaciones el 28 de diciembre de 2020, en las que se remite a lo expuesto en su recurso y hace mención adicional a los pronunciamientos de la STC 40/2020, de 27 de febrero, a propósito del uso indebido de la dirección electrónica habilitada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mediante escrito registrado el 4 de enero de 2021, presentó sus alegaciones interesando la estimación del recurso de amparo. Tras exponer la jurisprudencia del Tribunal Constitucional sobre los actos de comunicación procesal, con expresa referencia a las SSTC 40/2020, de 27 de febrero, y 43/2020, de 9 de marzo, solicita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10 de septiembre de 2018 y de 21 de septiembre de 2019, dictados por el Juzgado de Primera Instancia e Instrucción núm. 5 de Lorca, en el procedimiento de ejecución hipotecaria núm. 385-2018.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10 de septiembre de 2019,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solicitó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del Pleno del Tribunal, estimó un recurso de amparo basado en los mismos motivos, interpuesto por la misma entidad mercantil y dirigido contra autos de contenido muy similar de otro juzgado de Lorca. Corresponde, en consecuencia, dar por reproducidos los fundamentos jurídicos de aquella sentencia y declarar por ello que los autos de 10 de septiembre de 2018 y de 21 de septiembre de 2019, dictados por el Juzgado de Primera Instancia e Instrucción núm. 5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Penrei Inversiones,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10 de septiembre de 2018 y de 21 de septiembre de 2019, dictados por el Juzgado de Primera Instancia e Instrucción núm. 5 de Lorca, en el proceso de ejecución hipotecaria núm. 385-2018,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referido juzgado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