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7506-2019, promovido por Euroinversiones Inmobiliarias Costa Sur, S.L., representada por la procuradora de los tribunales doña Blanca Berriatua Horta y bajo la dirección del letrado don Marcelino Gilabert García, contra los autos de 27 de noviembre de 2018 y de 30 de octubre de 2019, dictados por el Juzgado de Primera Instancia e Instrucción núm. 4 de Lorca, en el procedimiento de ejecución hipotecaria núm. 372-2018, por los que, respectivamente, se inadmite por extemporánea la demanda de oposición formulada y se confirma esta última decisión, tras desestimarse el recurso de reposición interpuesto frente a ella. Ha intervenido el Ministerio Fiscal. Ha comparecido la entidad Pera Assets Designated Activity Company, actuando como sucesora procesal del banco ejecutante.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diciembre de 2019, la entidad Euroinversiones Inmobiliarias Costa Sur, S.L., representada por la procuradora de los tribunales doña Blanca Berriatua Horta y bajo la dirección del letrado don Marcelino Gilabert García, interpuso recurso de amparo contra las resoluciones referidas en el encabezamiento. La presentación de dicho escrito dio lugar al recurso de amparo núm. 7506-2019, cuyo conocimiento correspondió a la Sección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372-2018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43.317 del registro de la propiedad núm. 3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junio de 2018 se acordó despachar ejecución frente las sociedades demandadas por la cantidad de 8877,50 € de principal y 4510 €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29 de junio de 2018. En dicha comunicación se informa que la notificación estará disponible hasta el 31 de agosto del mismo año, accediendo la recurrente de amparo efectivamente a la página web y a la notificación dentro del plazo en que la misma se encontraba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31 de agosto de 2018. Por auto de 27 de noviembre de 2018 se acordó su inadmisión por considerar la pretensión extemporánea, tomando como fecha de notificación el 29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29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29 de junio hasta el 31 de agosto de 2018), pues entenderlo de otro modo, además de infringir los arts. 135, 152, 160 y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de reposición fue desestimado por auto de 30 de octubre de 2019. Según esta resolución, la recurrente tiene la condición de persona jurídica y, por tanto, está obligada a relacionarse con la administración de justicia por medios electrónicos. “Así, pese a las alegaciones del recurrente que pretende mantener que el escrito de oposición fue presentado en plazo para ello por entender que el auto despachando la ejecución y el requerimiento efectuado debe entenderse notificado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junio de 2020 la Sección Segunda de este tribunal acordó no admitir a trámite el recurso de amparo por no apreciar en el mismo la especial trascendencia constitucional que, como condición para su admisión, requiere el art. 50.1 b) LOTC (STC 155/2009, de 25 de junio, FJ 2). Dicha providencia se dejó sin efecto en virtud del auto de 18 de septiembre de 2020 que estimó el recurso de súplica interpuesto contra la misma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septiembre de 2020 la Sección Segunda de este tribunal acordó admitir a trámite el recurso de amparo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De conformidad con lo dispuesto en el art. 51 de nuestra Ley Orgánica reguladora (LOTC), se acordó dirigir comunicación al Juzgado de Primera Instancia e Instrucción núm. 4 de Lorca, a fin de que, en el plazo de diez días, remitiera certificación o fotocopia adverada de las actuaciones correspondientes a los autos de ejecución hipotecaria núm. 372-2018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18 de diciembre de 2020, la procuradora de los tribunales doña María Claudia Munteanu, actuando en nombre y representación de la entidad Pera Assets Designated Activity Company, solicitó se tuviera a esta última como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21 de diciembre de 2020, la secretaría de justicia de la Sala Primera de este tribunal dictó diligencia de ordenación por la que acordó tener por personada y parte en nombre y representación de Pera Assets Designated Activity Company a la procuradora doña María Claudia Munteanu y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de amparo presentó sus alegaciones el 27 de enero de 2021, en las que se remite a lo expuesto en su recurso y hace mención adicional a los pronunciamientos de la STC 40/2020, de 27 de febrero, a propósito del uso indebido de la dirección electrónica habilitada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ante este Tribunal Constitucional, mediante escrito registrado el 28 de enero de 2021, presentó sus alegaciones interesando la estimación del recurso de amparo. Tras exponer la jurisprudencia del Tribunal Constitucional sobre los actos de comunicación procesal, con expresa referencia a las SSTC 40/2020, de 27 de febrero, y 43/2020, de 9 de marzo, solicita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los autos de 27 de noviembre de 2018 y de 30 de octubre de 2019, dictados por el Juzgado de Primera Instancia e Instrucción núm. 4 de Lorca, en el procedimiento de ejecución hipotecaria núm. 372-2018.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27 de noviembre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solicitó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40/2020, de 27 de febrero, del Pleno del Tribunal, estimó un recurso de amparo basado en los mismos motivos, interpuesto por la misma entidad mercantil y planteado contra autos de contenido muy similar de otro juzgado de Lorca. Corresponde, en consecuencia, dar por reproducidos los fundamentos jurídicos de aquella sentencia y declarar por ello que los autos de 27 de noviembre de 2018 y de 30 de octubre de 2019, dictados por el Juzgado de Primera Instancia e Instrucción núm. 4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27 de noviembre de 2018 y de 30 de octubre de 2019, dictados por el Juzgado de Primera Instancia e Instrucción núm. 4 de Lorca, en el procedimiento de ejecución hipotecaria núm. 372-2018,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referido juzgado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