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3057-2019, promovido por Euroinversiones Inmobiliarias Costa Sur, S.L., representada por la procuradora de los tribunales doña Blanca Berriatua Horta y bajo la dirección del letrado don Marcelino Gilabert García, contra los autos de 18 de diciembre de 2018 y de 21 de marzo de 2019, dictados por el Juzgado de Primera Instancia e Instrucción núm. 6 de Lorca en el proceso de ejecución hipotecaria núm. 45-2018. Han intervenido el Ministerio Fiscal. Se ha personado la entidad Pera Assets Designated Activity Company, actuando como sucesora procesal de la entidad ejecutante.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mayo de 2019, la mercantil Euroinversiones Inmobiliarias Costa Sur, S.L., representada por la procuradora de los tribunales doña Blanca Berriatua Horta y bajo la dirección del letrado don Marcelino Gilabert García,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6 de Lorca, a instancias de la entidad Banco de Sabadell, S.A., se sigue procedimiento de ejecución núm. 45-2018 frente a la sociedad Euroinversiones Inmobiliarias Costa Sur, S.L., en calidad de prestataria e hipotecante y Penrei Inversiones, S.L., como titular del derecho de uso del citado bien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23 de mayo de 2018, el día 25 de mayo de 2018, el servicio de notificaciones de la Fábrica Nacional de Moneda y Timbre remitió a la demandante de amparo, a través de la dirección electrónica habilitada, sendos avisos de notificación, a las 15:39 y 16:00 horas, con idéntico contenido, en que se dice lo siguiente: “ha recibido una notificación del organismo emisor de los Juzgados y Tribunales (SGAJ) en la Dirección Electrónica Habilitada única de su titular Euroinversiones Inmobiliarias Costa Sur, S.L. NIF B73258006. La notificación estará disponible en su Dirección Electrónica Habilitada única desde el 25-05-2018 hasta el 10-07-2018. Si no procediera a su lectura en el plazo indicado se producirán los efectos correspondientes, según la normativa aplicable. Para que conste como leída por favor acceda a http://notificaciones.060.es. A través de su DEH podrá también consultar notificaciones de otras administraciones. Asunto JDO. 1 INST E INTR. N6 DE LORCA EJH 000045/2018. Reciba un cordial saludo”. Hay que advertir que no se contiene en estos avisos ninguna información adicional en la que se faciliten los enlaces para consultar la comunicación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9 de julio de 2018, es decir, un día antes de la finalización del plazo concedido en los anteriores avisos, la sede electrónica remitió un nuevo correo electrónico, en el que se avisa a la demandante de amparo que tiene “notificaciones y/o comunicaciones” sin recoger en la dirección electrónica habilitada única de la que es titular, recordándole el plazo de caducidad, esto es, el día 10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10 de julio de 2018, último día del plazo concedido para acceder a la notificación, la demandante de amparo accedió a la página web indicada, teniendo acceso a la notificación y documentación que la acompañaba, emitiéndose en esa misma fecha por el servicio de notificaciones dos certificados en los que se hace constar el resultado de dichas notificaciones, concretamente la fecha de puesta a disposición y la de aceptación por la destinataria. Sin embargo, al acceder a la documentación, repara en que entre los mismos no se encuentra el auto de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demandante de amparo se personó en las actuaciones el 28 de agosto de 2018, para poner de manifiesto que, con fecha 10 de julio de 2018, había recibido una comunicación del servicio de notificaciones electrónicas en la que le participaban la existencia de una notificación pendiente de entrega y que, al acceder a su contenido, constata que no todos los archivos que se dicen enviados habían sido recepcionados. Expuso en su escrito que, a su entender, la comunicación practicada carecía de validez, al no constar enviados todos los documentos que se citaban, en particular el auto que acordada el despacho de ejecución. Por ello, con amparo en el art. 166 de la Ley de enjuiciamiento civil (LEC), solicitaba la nulidad del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anterior escrito de nulidad fue tramitado y resuelto por auto de13 de diciembre de 2018 en sentido desestimatorio. En el fundamento jurídico único el órgano judicial razona que “[e]n el caso que nos ocupa, es cierto que el auto por el que se despachaba ejecución no se incluyó entre la documentación que se remitió a la mercantil ejecutada a través de la sede electrónica, y que reconoce recibida el día 25/05/2018, esto es, la demanda de ejecución y los documentos que la acompañaban, así como el decreto despachando ejecución, donde se incluía igualmente la mención a las cantidades reclamadas y por las que se debía realizar el requerimiento de pago y la propia cédula de requerimiento de pago. Ahora bien, examinadas las actuaciones, se concluye que el ejecutado no sufrió indefensión, ya que dicha omisión material podría haberse subsanado si el ejecutado hubiese adoptado una postura activa, poniendo la misma de manifiesto en el plazo que la ley le concedía para formular oposición a la ejecución, algo que no realizó, por lo que solo al mismo es achacable la supuesta indefensión que se alega. En consecuencia, procede la desestimación de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Durante la sustanciación del incidente de nulidad, el órgano judicial volvió a emitir el 1 de junio de 2018, por la misma vía telemática, otra notificación con relación al mismo proceso de ejecución, adjuntando el auto de despacho de ejecución, advirtiendo, de nuevo, que dicha notificación estaría disponible hasta el 17 de julio de 2018. El último día del plazo, la demandante accedió y descargó los documentos adjuntos, entre los cuales se encontraba el decreto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20 de julio de 2018, se remite un nuevo archivo, dando plazo hasta el 4 de septiembre de 2018 para acceder al mismo, cuyo contenido era un auto aclaratorio del anterior. Lo que llevó a cabo la demandante de amparo en fecha de 26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día 3 de septiembre de 2018, la sociedad ejecutada formuló oposición al despacho de ejecución, que fue inadmitida por presentación extemporánea, mediante auto de 14 de septiembre de 2018. Para el órgano judicial, “en fecha de 30-5-18 se notificó y requirió a la ejecutada en legal forma a través de la sede judicial electrónica y en fecha 4-9-18 se ha presentado por Euroinversiones Inmobiliarias Costa Sur, S.L., y Penrei Inversiones,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18 de diciembre de 2018, se vuelve a dictar auto por el que se vuelve a inadmitir el trámite de oposición por las mismas razones y fundamentos. Así, se afirma que “en fecha 25-05-2018 se notificó y requirió en legal forma a través de la sede electrónica al demandado y en fecha 04-09-18 se ha presentado por Euroinversiones Inmobiliarias Costa Sur, S.L., y Penrei Inversiones,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estas dos últimas resoluciones, la ejecutada interpuso sendos recursos de reposición, en la consideración de que las diligencias de notificación y requerimiento no habían sido realizadas el día 25 de mayo de 2018, sino, en su caso, a partir de esa fecha y hasta el 10 de julio de 2018, dado que la comunicación remitida a través de la dirección electrónica habilitada no podía entenderse más que un aviso de puesta a disposición o descarga de su contenido durante un plazo determinado (en el caso desde el 25 de mayo al 10 de julio de 2018); entenderlo de otro modo, además de infringir los arts. 135, 152, 160, y 162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Ambos recursos fueron resueltos en sentido desestimatorio por auto de 21 de marzo de 2019. El órgano judicial, al constatar su condición de persona jurídica, confirma su obligación de relacionarse con la administración de justicia por medios electrónicos, de conformidad con lo previsto en la disposición transitoria cuarta de la Ley 42/2015, de 5 de octubre, de reforma de la Ley de enjuiciamiento civil, así como en el art. 14.2 de la Ley 39/2015 y en el Real Decreto 1065/2015, de 27 de enero, sobre comunicaciones electrónicas en la administración de justicia en el ámbito territorial del Ministerio de Justicia y por el que se regula 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segundo, el órgano judicial razona que “en el presente caso, consta que la notificación se puso a disposición de las recurrentes en fecha 25-05-2018 no accediendo al contenido hasta el día 26-07-2018 (fuera de los tres días que establece la normativa procesal), presentando los escritos de oposición a la ejecución en fecha 04-09-2018 claramente fuera del plazo legalmente establecido en el art. 556.1 de la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de 18 de diciembre de 2018 y de 21 de marzo de 2019, la vulneración del derecho fundamental de la sociedad recurrente al proceso (art. 24 CE), “al darle conocimiento de la existencia del procedimiento a través de un correo electrónico al que se le da el carácter de emplazamiento y primera notificación para personarse en unas actuaciones sin constatar la existencia misma de su recepción íntegra y del acceso de mi representada al contenido de los documentos que se pretendían notificar mediante el emplazamiento por vía telemática y, a pesar de ello, no se realiza otro tipo de gestión para dejar constancia en las actuaciones de la efectiva recepción de la notificación por el destinatario de misma”. Considera que la interpretación ofrecida en el auto objeto de impugnación, que se apoya en la Ley del procedimiento administrativo eludiendo las garantías de un proceso judicial, cercena el derecho a la tutela judicial efectiva al privar a la recurrente del derecho a formular oposición en un proceso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de conformidad con el art. 273 LEC, su pretendida obligación de comunicarse telemáticamente con la administración de justicia no nace hasta después del primer emplazamiento pues, hasta entonces, ninguna relación ha tenido con dicha administración, lo que viene avalado por una interpretación sistemática de este precepto con los arts. 152, 155, 160 y 162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solicita, en consecuencia, la anulación de las resoluciones indicadas, así como la retroacción al momento procesal oportuno, previo al dictado del auto de 14 de septiembre de 2018, a fin de que el juzgado admita a trámite su oposición al despacho de ejecución. El recurso pide también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Tercera de este tribunal acuerda admitir a trámite el recurso, apreciando que reviste especial trascendencia constitucional [art. 50.1 de la Ley Orgánica del Tribunal Constitucional (LOTC)], toda vez que plantea un problema o afecta a una faceta de un derecho fundamental sobre el que no hay doctrina de este tribunal [STC 155/2009, FJ 2 a)] y puede dar ocasión al tribunal para aclarar o cambiar su doctrina, como consecuencia de cambios normativos relevantes para la configuración del contenido del derecho fundamental [STC 155/2009, FJ 2 b)]. Acuerda igualmente dirigir atenta comunicación al Juzgado de Primera Instancia e Instrucción núm. 6 de Lorca, a fin de que, en el plazo de diez días, remita certificación o fotocopia adveradas de las actuaciones correspondientes a la ejecución hipotecaria núm. 45-2018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Primera de este tribunal, mediante ATC 103/2020, de 23 de septiembre,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13 de julio de 2020, doña María Claudia Munteanu, procuradora de los tribunales, en nombre de la mercantil Pera Assets Designated Activity Company y bajo la dirección técnica del letrado don Alejandro Ingram Solís, compareció ante este tribunal, haciendo constar que la entidad Banco de Sabadell le ha cedido el crédito hipotecario y que, en virtud del régimen de sucesión procesal, las actuaciones deben continuarse con ella. Solicita que se la tenga por parte y que se entiendan con ella las diligencias sucesivas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28 de octubre de 2020, el secretario de justicia de la Sala Segunda acordó tener por personado y parte en el procedimiento a la procuradora doña María Claudia Munteanu en nombre y representación de la mercantil Pera Assets Designated Activity Company, acordándose entender con ella las sucesivas actuaciones, así como dar vista de las actuaciones a la parte recurrente y al Ministerio Fiscal por plazo común de veinte días, para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 de diciembre de 2020 tiene entrada en el registro de este tribunal escrito de la recurrente en amparo, en el que ratifica las alegaciones expuestas en la demanda y trascribe en parte los fundamentos jurídicos de la STC 40/2020, de 27 de febrero, en la que el Pleno de este tribunal ha resuelto un recurso de amparo casi idéntico, señalando que, tratándose del primer emplazamiento o citación al demandado, este ha de efectuarse en el domicilio del litigante en papel, como impone el art. 155.1 LEC, pues de lo contrario se estaría vulnerando el derecho a la tutela judicial efectiva sin indefensión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este tribunal el 23 de noviembre de 2020, solicitando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 Advierte, en primer lugar, la diferencia existente entre el supuesto planteado en este recurso de amparo con los del resto de la serie de los interpuestos por Euroinversiones Inmobiliarias Costa Sur, S.L., a los que les es aplicable la doctrina contenida en la STC 40/2020, relativa a la necesidad de que los actos de comunicación se realicen en el domicilio de los litigantes cuando se trata del primer emplazamiento o citación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se ha producido un error en las fechas a tener en cuenta por el órgano judicial para valorar la posible extemporaneidad de la oposición a la ejecución, pues debió considerarse como dies a quo, no el de la primera notificación, con independencia de que pudiera haber devenido nula por no haberse practicado personalmente y con traslado de toda la documentación de conformidad con los arts. 152.2 y 273.4 LEC, sino que la fecha de inicio del cómputo era la de 20 de julio de 2018, en la que se le dio traslado del auto de aclaración de aquel que despacha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este argumento, se cita la STC 90/2010, FJ 3, en la que incidimos en que, en supuestos como este, “debe tenerse en cuenta que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 Así lo disponía el art. 407 de la vieja Ley de enjuiciamiento civil de 1881 (‘[e]n los casos en que se pida aclaración de una sentencia conforme a lo prevenido en el artículo 363, el término para interponer el recurso que proceda contra la misma sentencia se contará desde la notificación del auto en que se haga o deniegue la aclaración’); y así lo establecen actualmente tanto el apartado 2 del art. 448 LEC de 2000 (‘[l]os plazos para recurrir se contarán desde el día siguiente al de la notificación de la resolución que se recurra, o, en su caso, a la notificación de su aclaración o de la denegación de esta’), como el apartado 8 del art. 267 LOPJ (en la redacción dada a este precepto por la Ley Orgánica 19/2003, de 23 de diciembre), que prevé que: ‘Los plazos para los recursos que procedan contra la resolución de que se trate se interrumpirán desde que se solicite su aclaración, rectificación, subsanación o complemento y, en todo caso, comenzarán a computarse desde el día siguiente a la notificación del auto que reconociera o negase la omisión de pronunciamiento y acordase o denegara remediarla’”. En consecuencia, aplicada esta doctrina al caso que nos ocupa, debe tomarse como dies a quo, la fecha de notificación del auto de aclaración del despacho de ejecución, esto es, la de 20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la fiscal, que de conformidad con lo declarado por este tribunal en su STC 217/2009, FJ 3,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 juicio del Ministerio Fiscal, hay que añadirle lo declarado en la STC 11/2011, FJ 17, respecto a la posibilidad de apreciar la lesión del derecho a la tutela judicial efectiva (art. 24.1 CE), en aquellos pronunciamientos judiciales relativos a la caducidad de la acción “cuando determina bien la inadmisión de la acción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referida doctrina, la fiscal concluye que el juzgado erró en la determinación del dies a quo y, en consecuencia, vulneró el derecho a la tutela judicial efectiva ex art. 24.1 CE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2021, se señaló para votación y fallo del presente recurso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18 de diciembre de 2018 y de 21 de marzo de 2019, dictados por el Juzgado de Primera Instancia e Instrucción núm. 6 de Lorca en el proceso de ejecución hipotecaria núm. 45-2018.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Añade que el órgano judicial igualmente habría incurrido en un error en el cómputo del plazo para presentar la oposición a la ejecución, en tanto no podía iniciarse hasta que no le fue notificado el auto aclaratorio del auto de despacho de la ejecución, es decir, hasta el 20 de julio de 2018.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14 de septiembre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 la demanda de amparo y la nulidad de todo lo actuado desde la notificación electrónica del auto de despacho de la ejecución con retroacción de las actuaciones al momento anterior. En tal sentido, subraya que, a diferencia de lo acontecido en recursos de amparo similares que han sido interpuestos por la misma demandante de amparo contra el sistema de notificación electrónica del primer emplazamiento del demandado, en este caso, el problema se ciñe a un error respecto al cómputo del plazo para ejercitar la oposición a la ejecución hipotecaria, pues el órgano judicial ha tomado como dies a quo la fecha de la primera notificación, sin tener en consideración el iter procesal habido desde entonces. Entiende que, de acuerdo con la jurisprudencia de este tribunal, debe tomarse como fecha de inicio del plazo la de 20 de julio de 2018, pues es aquella en la que se comunicó el auto aclaratorio del auto por el que se despachó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acertadamente pone de manifiesto la fiscal, el asunto sometido a nuestra consideración, si bien vuelve a plantear el problema de la posible vulneración del derecho a la tutela judicial efectiva debida a la notificación al demandado del primer emplazamiento por vía electrónica, su análisis debe comenzar por la primera de las lesiones causadas a la recurrente en tal derecho fundamental (art. 24.1 CE), es decir por el cálculo erróneo del plazo para oponerse a la ejecución llevado a cabo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hemos de llamar la atención sobre el hecho de que no es la primera vez que este tribunal debe pronunciarse sobre esta cuestión, pues son numerosos nuestros pronunciamientos. De este modo, basta con recordar que, si bien “el cómputo de los plazos procesales es una cuestión de legalidad ordinaria que compete resolver a los órganos judiciales en el ejercicio de su propia y exclusiva potestad jurisdiccional, ex art. 117.3 CE”, también lo es que “el problema solo adquiere relevancia constitucional cuando la interpretación de la normativa aplicable al supuesto controvertido que determina la inadmisibilidad del recurso sea manifiestamente irrazonable o arbitraria, incurra en error patente o asuma un criterio hermenéutico contrario a la efectividad del derecho a la tutela judicial (SSTC 201/1987, 200/1988, 32/1989, 155/1991, 132/1992, 75/1993, 302/1994 y 165/1996)” (STC 209/2013,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ha insistido en que la caducidad de la acción “constituye una de esas causas legales que impiden un pronunciamiento sobre el fondo, siendo su cómputo —como, en general, el de todos los plazos sustantivos y procesales— una cuestión de estricta legalidad ordinaria que corresponde valorar a los órganos judiciales”. No obstante, pese a ello, se ha mantenido reiteradamente que la interpretación de las normas legales que realizan aquellos es revisable en amparo cuando la apreciación de la caducidad afecta a un derecho fundamental, como ocurre cuando determina, bien la inadmisión de la demanda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el tribunal entiende que el Juzgado de Primera Instancia e Instrucción núm. 6 de Lorca ha padecido un error de hecho al considerar que el cómputo para la oposición a la ejecución debía comenzar en el momento en el que se notificó a la demandante de amparo el auto despachando la ejecución, esto es, el 25 de mayo de 2018, obviando por consiguiente el trámite de aclaración del mismo que concluyó con su pertinente auto de fecha de 20 de julio de 2018, pues como expresa la STC 90/2010, FJ 3,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aplicarse la doctrina recogida en la STC 11/2011, según la cual entendemos que “son casos de error facti aquellos en los que únicamente está en cuestión el cómputo o cálculo de un plazo a la vista de una inequívoca redacción de norma que lo regula, o de una interpretación constante y reiterada de la misma que aplican los órganos judiciales. En otras palabras, son supuestos en los que, sin existir duda o debate alguno sobre la interpretación de las normas que regulan el plazo, o determinada en todo caso la interpretación de la norma que contiene su régimen, se produce un mero error de cálculo, bien por errarse en la determinación del dies a quo, bien por equivocarse el juzgador en el cómputo, errando en la determinación del dies ad quem del plazo. Ejemplos de ello se encuentran en nuestras SSTC 25/1986, de 19 de febrero; 167/1999, de 27 de septiembre; 66/2000, de 13 de marzo; 89/2000, de 27 de marzo; 150/2000, de 12 de junio, o 362/2006, de 18 de diciembre, en las que se opera la revisión constitucional de la resolución recurrida con los criterios del error de hecho a los que hacíamos referencia en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corresponde declarar que los autos de 18 de diciembre de 2018 y de 21 de marzo de 2019 del Juzgado de Primera Instancia e Instrucción núm. 6 de Lorca han vulnerado el derecho a la tutela judicial efectiva de la recurrente en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con el fin de evitar una nueva notificación del primer emplazamiento de la demandante de amparo por vía electrónica, este tribunal debe recordar lo expresado en la STC 40/2020, de 27 de febrero, en el sentido de que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18 de diciembre de 2018 y de 21 de marzo de 2019, dictados por el Juzgado de Primera Instancia e Instrucción núm. 6 de Lorca en el proceso de ejecución hipotecaria núm. 45-2018,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