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2537-2019, promovido por Penrei Inversiones, S.L., contra el auto del Juzgado de Primera Instancia e Instrucción núm. 5 de Lorca de 27 de febrero de 2019, por el que se desestima el recurso de reposición interpuesto contra el auto de 21 de septiembre de 2018, por el que se inadmite el escrito de oposición a la ejecución hipotecaria en el procedimiento de ejecución hipotecaria núm. 362-2018. Ha comparecido la entidad Pera Assets Designated Activity Company.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entidad Penrei Inversiones, S.L., representada por la procuradora de los tribunales doña Blanca Berriatua Horta y bajo la asistencia de la letrada doña Anju Nirmala Benavent Rodríguez, interpuso recurso de amparo contra las resoluciones judiciales que se mencionan en el encabezamiento de esta sentencia mediante escrito registrado en este tribunal el 22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promovió un procedimiento de ejecución hipotecaria frente a las sociedades Euroinversiones Inmobiliarias Costa Sur, S.L., en calidad de prestataria e hipotecante, y Penrei Inversiones, S.L., en calidad de titular registral de un derecho de uso y disfrute sobre el inmueble hipotecado, que fue tramitado por el Juzgado de Primera Instancia e Instrucción núm. 5 de Lorca con el número 362-2018.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acordó despachar ejecución mediante auto de 8 de junio de 2018 frente a las sociedades demandadas. El citado auto y el decreto de la misma fecha que le sigue, acordando las medidas de ejecución y el requerimiento de pago al ejecutado, fueron comunicados a las citadas entidades a través de la sede judicial electrónica el día 13 de junio de 2018; fecha en la que se recibió en la dirección electrónica habilitada de ambas entidades un mensaje del servicio de notificaciones electrónicas de la Fábrica Nacional de Moneda y Timbre con el aviso de que hasta el 29 de julio siguiente tendrían disponible una notificación del juzgado de Lorca relacionada con el procedimiento EHJ 0362-2018, a la que, para que constase como leída, debía acceder a través de un enlace adjunto. La ejecutada accedió a dicho enlace el 24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entidad demandante de amparo presentó el 31 de julio de 2018 escrito de oposición a la ejecución despachada. Por auto de 21 de septiembre de 2018, el órgano judicial acordó la inadmisión de la oposición formulada por entender extemporánea su presentación, tras tomar como fecha de emplazamiento el 13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entidad demandante de amparo interpuso recurso de reposición, alegando que la notificación y requerimiento no habían de entenderse realizadas el 13 de junio de 2018, sino el 25 de julio siguiente, y que la comunicación remitida a través de la dirección electrónica habilitada no constituye sino un aviso de puesta a disposición para descarga de su contenido durante un plazo determinado; poniendo de manifiesto que, entenderlo de otro modo, además de infringir los arts. 135, 152, 160 y 162 de la Ley de enjuiciamiento civil (LEC), vulneraría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fue desestimado por auto de 27 de febrero de 2019 con fundamento en que las entidades ejecutadas tienen la condición de persona jurídica y, por tanto, están obligadas a relacionarse con la administración de justicia por medios electrónicos, de conformidad con lo previsto en la disposición transitoria cuarta de la Ley 42/2015, de 5 de octubre, de reforma de la Ley de enjuiciamiento civil, así como en los arts. 14.2 a) de la Ley 39/2015 del procedimiento administrativo común de las administraciones públicas, y 273.3 LEC. Según el auto, el art. 162.2 LEC impone que la comunicación electrónica surte efecto trascurridos tres días desde que fue efectuada sin que el destinatario acceda a su contenido. Concluye que, al constar que la notificación se puso a disposición de las ejecutadas el 13 de junio de 2018, la presentación del escrito de oposición el 31 de julio de 2018 se produjo fuera del plazo legalmente establecido en el art. 556.1 LEC, esto es más allá de los diez días siguientes al de la notificación del auto despachando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las resoluciones judiciales impugnadas han vulnerado su derecho a la tutela judicial efectiva sin indefensión (art. 24.1 CE), al haberse efectuado su emplazamiento como ejecutada a través de un correo electrónico remitido por un servicio de notificaciones electrónicas y no mediante entrega de la documentación correspondiente en papel en la sede de su domicilio social y ello pese a que esa comunicación fue el primer emplazamiento en la causa. Además, señala que, en todo caso, siguió las indicaciones que le facilitó la comunicación electrónica, de manera que accedió al contenido de la notificación dentro del plazo fijado de disponibilidad; fecha que, sin embargo, el órgano judicial ha considerado fuera de plazo, por lo que acordó la inadmisión del escrito de oposición presentado dentro de los diez días que prevé el art. 556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insiste en que, por ser una persona jurídica, si bien está obligada a relacionarse con la administración de justicia a través de medios electrónicos, según establece el art. 273 LEC; sin embargo, cuando se trata del primer emplazamiento y, por tanto, todavía se no ha tenido ninguna relación con el juzgado correspondiente en ese concreto procedimiento, la notificación ha de practicarse mediante cédula con entrega en papel de la documentación correspondiente, conforme establece ese mismo artículo, puesto en relación con los arts. 135, 152, 162 y 155 LEC. Este último precepto es categórico al respecto, ya que en su punto primero establece que “cuando las partes no actúen representadas por procurador o se trate del primer emplazamiento o citación al demandado, los actos de comunicación se harán por remisión al domicilio de los litigantes”.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además, expone que el auto de 27 de febrero de 2019 fundamenta su decisión en la Ley del procedimiento administrativo común, norma que es inaplicable al ámbito procesal civil, puesto que además de existir normas concretas al respecto, no se dan en uno y otro ámbito las mismas garantías procedimentales. Precisa que en materia de notificación de actos procesales resulta aplicable tanto la Ley de enjuiciamiento civil como el art. 24 CE, que reconoce el derecho a la tutela judicial efectiva. Alega finalmente que se ha producido también una vulneración del derecho a un proceso con todas las garantías (art. 24.2 CE), en las vertientes del derecho a la defensa contradictoria y del derecho a la asistencia letrada, las cuales permiten en todos los órdenes jurisdiccionales evitar desequilibrios en la posición procesal de las partes, sin limitaciones a su defensa que pudieran en caso contrario ocasionar indefensión a alguna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solicita que se estime el recurso del amparo, acordando la nulidad de las resoluciones judiciales impugnadas y se ordene reponer las actuaciones al momento previo al dictado de la primera de las resoluciones judiciales impugnadas, a fin de que el juzgado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16 de septiembre de 2019, acordó admitir a trámite el recurso de amparo apreciando que concurre en el mismo una especial trascendencia constitucional [art. 50.1 de la Ley Orgánica del Tribunal Constitucional (LOTC)] porque puede dar ocasión para aclarar o cambiar su doctrina, como consecuencia de cambios normativos relevantes para la configuración del contenido del derecho fundamental [STC 155/2009, FJ 2 b)]”; dirigir atenta comunicación al órgano judicial para la remisión de testimonio o copia adverada de las actuaciones y el emplazamiento de quienes hubieran sido parte en el procedimiento para que puedan comparecen en el recurso de amparo; y la formación de la pieza separada de suspensión, que fue resuelta por ATC 129/2019, de 28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entidad Pera Assets Designated Activity Company, representada por la procuradora de los tribunales doña Blanca María Grande Pesquero y bajo la asistencia del letrado don Alejandro Ingram Solís, por escrito registrado el 4 de octubre de 2019, manifestó ser cesionaria a título oneroso de determinados créditos hipotecarios de los que era titular Banco de Sabadell, S.A., (entre ellos el que grava la finca hipotecada que es objeto del proceso judicial previo), así como haber sido emplazada por el Juzgado de Primera Instancia e Instrucción núm. 5 de Lorca para comparecer ante este tribunal, por lo que solicitó que se le tuviera por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Tercera de este tribunal, por providencia de 14 de diciembre de 2020, tuvo por personada y parte a la procuradora doña Blanca María Grande Pesquero en la representación acreditada y acordó dar vista de las actuaciones a las partes personadas y al Ministerio Fiscal, por plazo común de veinte días, a fin de que, conforme con lo previsto en el art. 52 LOTC,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el 29 de enero de 2021, presentó sus alegaciones interesando la estimación del recurso de amparo y, en consecuencia, que se declare vulnerado el derecho a la tutela judicial efectiva sin indefensión de la demandante y la nulidad de todo lo actuado desde la notificación electrónica del auto que despachó la ejecución solicitada, con retroacción de las actuaciones al momento inmediatamente anterior a dicha notificación “para que se le dé al recurrente posibilidad de formular oposición a la ejecución”. El Ministerio Fiscal fundamenta esta petición en la jurisprudencia constitucional establecida en las SSTC 40/2020, de 27 de febrero, y 43/2020, de 9 de marzo, en las que, entre otras, se han resuelto demandas de amparo semejantes a la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entidad recurrente presentó sus alegaciones el 21 de enero de 2021, remitiéndose a lo expuesto en su demanda, haciendo mención adicional a la STC 40/2020, de 27 de febrero, en la que el tribunal resolvió estimatoriamente un asunto prácticamente idéntico al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febrero 2021, se señaló para deliberación y votación de la presente sentencia el día 3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jurisprudencia constitucional establecida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40/2020, de 27 de febrero, FJ 3, ha abordado el examen de la misma queja de fondo planteada en este recurso, en la que se aduce también la vulneración del art. 24.1 CE como consecuencia de la inadmisión por extemporáneo del escrito de oposición a la ejecución. Se advierte en ella que para su solución resulta de aplicación la doctrina del tribunal plasmada en las SSTC 6/2019, de 17 de enero, FJ 4 a) (iii), dictada al resolver una cuestión de inconstitucionalidad planteada en relación con el último inciso del artículo 152.2 LEC, y 47/2019, de 8 de abril, FJ 4 a), recaída en un proceso de amparo, en relación con la garantía de emplazamiento personal inicial del demandado o ejecutado en los procesos regidos en esta materia por la Ley de enjuiciamiento civil (directa o supletoriamente). En ellas se ha concluido que no procede efectuar por medios electrónicos la citación o emplazamiento del demandado aún no personado en el procedimiento, dado que estos actos deben realizarse por remisión a su domicilio, y que dicha forma de comunicación no puede ser sustituida por otra electrónica, como la efectuada a través de la dirección electrónica habilitada. Tal emplazamiento personal se exige en el art. 155.1 LEC. Es complemento de este requisito la regla establecida en el art. 273.4 LEC sobre la presentación en papel de las copias de los escritos y documentos que sustenten la acción. El incumplimiento de aquel deber del órgano judicial, “acarrea por tanto la conculcación de aquel derecho fundamental”, tal como tiene declarado el tribunal en varios recursos de amparo que se refieren a procesos laborales, civiles y concursales, los cuales aparecen especificados en el mismo fundamento jurídico 3,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concluir ahora, al igual que se hizo en la STC 40/2020, FJ 4, que las dos resoluciones judiciales impugnadas vulneraron el derecho a la tutela judicial efectiva sin indefensión de la recurrente por no proceder a su emplazamiento personal en el proceso a efectos de requerirla de pago o, alternativamente, permitirle presentar su oposición a la ejecución, ya que el órgano judicial optó, en cambio, por un emplazamiento electrónico mediante el servicio de notificaciones electrónicas y dirección electrónica habilitada de la Fábrica Nacional de Moneda y Timbre. Por otra parte, el plazo para presentar el escrito de oposición fue computado invocando normas del procedimiento administrativo común que son ajenas al ámbito jurisdiccional en el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resolución, el presente recurso de amparo ha de ser estimado en aplicación de la doctrina fijada en las SSTC 47/2019 y 40/2020 apreciando la vulneración del derecho a la tutela judicial efectiva sin indefensión de la entidad demandante (art. 24.1 CE). De conformidad con lo establecido en el art. 55 LOTC, procede declarar la nulidad de los autos impugnados del Juzgado de Primera Instancia e Instrucción núm. 5 de Lorca, así como de todo lo actuado en el procedimiento de ejecución hipotecaria desde que se proveyó a su emplazamiento por medio de la dirección electrónica habilitada, y ordenar la retroacción de las actuaciones a este momento a fin de que el juzgado lleve a cabo dicho emplazamiento de manera respetuosa con el derecho fundamental de la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Penrei Inversiones,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los autos de 21 de septiembre de 2018 y 27 de febrero de 2019, dictados por el Juzgado de Primera Instancia e Instrucción núm. 5 de Lorca en el proceso de ejecución hipotecaria núm. 362-2018, así como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demandante de amparo, debiendo llevarse a cabo de nuevo este último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