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2537-2019, promovido por Penrei Inversiones, S.L., contra el auto del Juzgado de Primera Instancia e Instrucción núm. 5 de Lorca de 27 de febrero de 2019, por el que se desestima el recurso de reposición interpuesto contra el auto de 21 de septiembre de 2018, por el que se inadmite el escrito de oposición a la ejecución hipotecaria en el procedimiento de ejecución hipotecaria núm. 362-2018. Ha comparecido la entidad Pera Assets Designated Activity Company.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Penrei Inversiones, S.L., representada por la procuradora de los tribunales doña Blanca Berriatua Horta y bajo la asistencia de la letrada doña Anju Nirmala Benavent Rodríguez, interpuso recurso de amparo contra las resoluciones judiciales que se mencionan en el encabezamiento de esta sentencia mediante escrito registrado en este tribunal el 22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promovió un procedimiento de ejecución hipotecaria frente a las sociedades Euroinversiones Inmobiliarias Costa Sur, S.L., en calidad de prestataria e hipotecante, y Penrei Inversiones, S.L., en calidad de titular registral de un derecho de uso y disfrute sobre el inmueble hipotecado, que fue tramitado por el Juzgado de Primera Instancia e Instrucción núm. 5 de Lorca con el número 362-2018.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acordó despachar ejecución mediante auto de 8 de junio de 2018 frente a las sociedades demandadas. El citado auto y el decreto de la misma fecha que le sigue, acordando las medidas de ejecución y el requerimiento de pago al ejecutado, fueron comunicados a las citadas entidades a través de la sede judicial electrónica el día 13 de junio de 2018; fecha en la que se recibió en la dirección electrónica habilitada de ambas entidades un mensaje del servicio de notificaciones electrónicas de la Fábrica Nacional de Moneda y Timbre con el aviso de que hasta el 29 de julio siguiente tendrían disponible una notificación del juzgado de Lorca relacionada con el procedimiento EHJ 0362-2018, a la que, para que constase como leída, debía acceder a través de un enlace adjunto. La ejecutada accedió a dicho enlace el 24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de amparo presentó el 31 de julio de 2018 escrito de oposición a la ejecución despachada. Por auto de 21 de septiembre de 2018, el órgano judicial acordó la inadmisión de la oposición formulada por entender extemporánea su presentación, tras tomar como fecha de emplazamiento el 13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demandante de amparo interpuso recurso de reposición, alegando que la notificación y requerimiento no habían de entenderse realizadas el 13 de junio de 2018, sino el 25 de julio siguiente, y que la comunicación remitida a través de la dirección electrónica habilitada no constituye sino un aviso de puesta a disposición para descarga de su contenido durante un plazo determinado; poniendo de manifiesto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27 de febrero de 2019 con fundamento en que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del procedimiento administrativo común de las administraciones públicas, y 273.3 LEC. Según el auto, el art. 162.2 LEC impone que la comunicación electrónica surte efecto trascurridos tres días desde que fue efectuada sin que el destinatario acceda a su contenido. Concluye que, al constar que la notificación se puso a disposición de las ejecutadas el 13 de junio de 2018, la presentación del escrito de oposición el 31 de julio de 2018 se produjo fuera del plazo legalmente establecido en el art. 556.1 LEC, esto es más allá de los diez días siguientes al de la notificación del auto despachando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las resoluciones judiciales impugnadas han vulnerado su derecho a la tutela judicial efectiva sin indefensión (art. 24.1 CE), al haberse efectuado su emplazamiento como ejecutada a través de un correo electrónico remitido por un servicio de notificaciones electrónicas y no mediante entrega de la documentación correspondiente en papel en la sede de su domicilio social y ello pese a que esa comunicación fue el primer emplazamiento en la causa. Además, señala que, en todo caso, siguió las indicaciones que le facilitó la comunicación electrónica, de manera que accedió al contenido de la notificación dentro del plazo fijado de disponibilidad;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por ser una persona jurídica, si bien está obligada a relacionarse con la administración de justicia a través de medios electrónicos, según establece el art. 273 LEC; sin embargo, cuando se trata del primer emplazamiento y, por tanto, todavía se no ha tenido ninguna relación con el juzgado correspondiente en ese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además, expone que el auto de 27 de febrero de 2019 fundamenta su decisión en la Ley del procedimiento administrativo común, norma que es inaplicable al ámbito procesal civil, puesto que además de existir normas concretas al respecto, no se dan en uno y otro ámbito las mismas garantías procedimentales. Precisa que en materia de notificación de actos procesales resulta aplicable tanto la Ley de enjuiciamiento civil como el art. 24 CE, que reconoce el derecho a la tutela judicial efectiva. Alega finalmente que se ha producido también una vulneración del derecho a un proceso con todas las garantías (art. 24.2 CE), en las vertientes del derecho a la defensa contradictoria y del derecho a la asistencia letrada, las cuales permiten en todos los órdenes jurisdiccionales evitar desequilibrios en la posición procesal de las partes, sin limitaciones a su defensa que pudieran en caso contrario ocasionar indefensión a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estime el recurso del amparo, acordando la nulidad de las resoluciones judiciales impugnadas y se ordene reponer las actuaciones al momento previo al dictado de la primera de las resoluciones judiciales impugnadas, a fin de que el juzgado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16 de septiembre de 2019, acordó admitir a trámite el recurso de amparo apreciando que concurre en el mismo una especial trascendencia constitucional [art. 50.1 de la Ley Orgánica del Tribunal Constitucional (LOTC)] porque puede dar ocasión para aclarar o cambiar su doctrina, como consecuencia de cambios normativos relevantes para la configuración del contenido del derecho fundamental [STC 155/2009, FJ 2 b)]”; dirigir atenta comunicación al órgano judicial para la remisión de testimonio o copia adverada de las actuaciones y el emplazamiento de quienes hubieran sido parte en el procedimiento para que puedan comparecen en el recurso de amparo; y la formación de la pieza separada de suspensión, que fue resuelta por ATC 129/2019,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Pera Assets Designated Activity Company, representada por la procuradora de los tribunales doña Blanca María Grande Pesquero y bajo la asistencia del letrado don Alejandro Ingram Solís, por escrito registrado el 4 de octubre de 2019,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5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este tribunal, por providencia de 14 de diciembre de 2020, tuvo por personada y parte a la procuradora doña Blanca María Grande Pesquero en la representación acreditada y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29 de enero de 2021, presentó sus alegaciones interesando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 El Ministerio Fiscal fundamenta esta petición en la jurisprudencia constitucional establecida en las SSTC 40/2020, de 27 de febrero, y 43/2020, de 9 de marzo, en las que, entre otras, se han resuelto demandas de amparo semejantes a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presentó sus alegaciones el 21 de enero de 2021, remitiéndose a lo expuesto en su demanda, haciendo mención adicional a la STC 40/2020, de 27 de febrero, en la que el tribunal resolvió estimatoriamente un asunto prácticamente idéntico 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febrero 2021, se señaló para deliberación y votación de la presente sentencia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constitucional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FJ 3, ha abordado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del tribunal plasmada en las SSTC 6/2019, de 17 de enero, FJ 4 a) (iii), dictada al resolver una cuestión de inconstitucionalidad planteada en relación con el último inciso del artículo 152.2 LEC, y 47/2019, de 8 de abril, FJ 4 a), recaída en un proceso de amparo, en relación con la garantía de emplazamiento personal inicial del demandado o ejecutado en los procesos regidos en esta materia por la Ley de enjuiciamiento civil (directa o supletoriamente). En ellas se ha concluido que no procede efectuar por medios electrónicos la citación o emplazamiento del demandado aún no personado en el procedimiento, dado que estos actos deben realizarse por remisión a su domicilio, y que dicha forma de comunicación no puede ser sustituida por otra electrónica, como la efectuada a través de la dirección electrónica habilitada. Tal emplazamiento personal se exige en el art. 155.1 LEC. Es complemento de este requisito la regla establecida en el art. 273.4 LEC sobre la presentación en papel de las copias de los escritos y documentos que sustenten la acción. El incumplimiento de aquel deber del órgano judicial, “acarrea por tanto la conculcación de aquel derecho fundamental”, tal como tiene declarado el tribunal en varios recursos de amparo que se refieren a procesos laborales, civiles y concursales, los cuales aparecen especificados en el mismo fundamento jurídico 3,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se hizo en la STC 40/2020, FJ 4, que las dos resoluciones judiciales impugnadas vulneraron el derecho a la tutela judicial efectiva sin indefensión de la recurrente por no proceder a su emplazamiento personal en el proceso a efectos de requerirla de pago o, alternativamente, permitirle presentar su oposición a la ejecución, ya que el órgano judicial optó, en cambio, por un emplazamiento electrónico mediante el servicio de notificaciones electrónicas y dirección electrónica habilitada de la Fábrica Nacional de Moneda y Timbre. Por otra parte,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resolución, el presente recurso de amparo ha de ser estimado en aplicación de la doctrina fijada en las SSTC 47/2019 y 40/2020 apreciando la vulneración del derecho a la tutela judicial efectiva sin indefensión de la entidad demandante (art. 24.1 CE). De conformidad con lo establecido en el art. 55 LOTC, procede declarar la nulidad de los autos impugnados del Juzgado de Primera Instancia e Instrucción núm. 5 de Lorca, así como de todo lo actuado en el procedimiento de ejecución hipotecaria desde que se proveyó a su emplazamiento por medio de la dirección electrónica habilitada, y ordenar la retroacción de las actuaciones a este momento a fin de que el juzgado lleve a cabo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21 de septiembre de 2018 y 27 de febrero de 2019, dictados por el Juzgado de Primera Instancia e Instrucción núm. 5 de Lorca en el proceso de ejecución hipotecaria núm. 362-2018,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demandante de amparo,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