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862-2020, promovido por Grúas Puente Rublán, S.L., representada por el procurador de los tribunales don Luis Domingo Fernández Espeso y asistida por el abogado don José Luis Merino García, contra el auto del Juzgado de Primera Instancia núm. 2 de Benavente, de 20 de enero de 2020, que desestimó el incidente de nulidad de actuaciones planteado contra la sentencia 39/2019, de 26 de marzo, dictada en el procedimiento ordinario núm. 297-2018, promovido por la entidad REC Accesorios, S.L., personada en estas actuaciones, representada por el procurador de los tribunales don Alberto del Hoyo López y asistida por el abogado don Marco Antonio Furones Gil.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registro general de este tribunal el 10 de febrero de 2020, el procurador de los tribunales don Luis Domingo Fernández Espeso, actuando en nombre y representación de Grúas Puentes Rublán, S.L., bajo la defensa del letrado don José Luis Merino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mercantil REC Accesorios, S.L., presentó demanda de juicio ordinario señalando como parte demandada a Grúas Puente Rublán, S.L., que dio lugar al procedimiento ordinario 297-2018 del Juzgado de Primera Instancia e Instrucción núm. 2 de Benavente.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letrado de la administración de justicia se dictó decreto de 17 de septiembre de 2018 por el que se admitió a trámite la demanda y se acordó emplazar a la parte demandada con traslado de la demanda y documentación acompañada, para que la contestara en el plazo de veinte días hábiles, con las siguientes prevenciones: Apercibir a la parte demandada que, si no compareciera dentro del plazo indicado, se la declarará en situación de rebeldía procesal [art. 496.1 de la Ley de enjuiciamiento civil (LEC)]; advertir a la parte demandada que la comparecencia en juicio debe realizarse por medio de procurador y con asistencia de abogado (arts. 23 y 31 LEC) y llevar a efecto el emplazamiento de la parte demandada a través de la sede electrónica, para lo cual se librarán los despachos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notificación a través de la sede electrónica, tal y como consta en la certificación del “libro de actos de comunicación” de fecha 28 de marzo de 2019, se remitió a la dirección electrónica el 26 de septiembre de 2018 y consta con fecha de recepción el 26 de septiembre, pero no consta fecha de “retirada del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21 de enero de 2019 se declaró a la demandada en situación legal de rebeldía, señalándose la celebración de la audiencia previa el día 12 de febrero de 2019 a las 12:15 horas. Esta diligencia de ordenación también fue notificada a través de la sede electrónica. Según consta en el certificado del “libro de actos de comunicación” de 28 de marzo de 2019, se remitió a la dirección electrónica el 23 de enero de 2019 y fue recepcionada ese mismo día, pero no consta fecha de “retirada del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Celebrada la audiencia previa el día señalado, con la sola asistencia de la parte demandante, el 26 de marzo de 2019 se dictó sentencia 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el procurador de REC Accesorios, S.L., se presentó demanda ejecutiva que dio lugar a los autos de ejecución de títulos judiciales 79-2019 del Juzgado de Primera Instancia e Instrucción núm. 2 de Benavente, dictándose auto de 28 de junio de 2019, por el que se acordó adoptar orden general de ejecución, y despachar ejecución por las cantidades correspondientes por el principal e intereses. En la misma fecha se dictó decreto en orden a dar efectividad a las medidas acordadas. El auto y el decreto señalados fueron notificados a la demandada en su domicilio el día 2 de julio de 2019, momento en el que tuvo conocimiento del procedimiento de juicio ordinario 297-2018.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11 de julio de 2019, la representación procesal de Grúas Puente Rublán, S.L., presentó escrito dirigido a ambos procedimientos (ordinario y de ejecución), interponiendo incidente de nulidad de actuaciones alegando la infracción de lo previsto en los arts. 155, 158 y 161 LEC, y vulneración del derecho a la tutela judicial efectiva (art. 24.1 CE), aduciendo la doctrina del Tribunal Constitucional sentada en la STC 47/2019,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20 de enero de 2020, el juzgado desestimó el incidente de nulidad de actuaciones planteado por la entidad recurrente. En su fundamento jurídico segundo, y tras constatar la forma telemática de las notificaciones impugnadas, se admite el conocimiento de la “nueva doctrina constitucional” mencionada en el escrito. No obstante, considera que el órgano judicial “actuó conforme al Derecho vigente y aplicable durante la tramitación de [ese] procedimiento (previo a tal doctrina) y, por ende, ninguna indefensión se le causó a la parte demandada”. Para ello, señala que la STC 6/2019 (a la que se remite la STC 47/2019) fue publicada con posterioridad a la sentencia dictada en su procedimiento (en concreto, el 14 de febrero de 2019). Sobre esa base, con cita de los arts. 31.1 y 40 de la Ley Orgánica del Tribunal Constitucional (LOTC), entiende que la STC 6/2019, no puede “afectar a la fuerza de cosa juzgada de sentencias firmes ya dictadas y, como consecuencia, al principio de seguridad jurídica”, y “mucho menos” cuando en esa sentencia “no se declara la inconstitucionalidad de una norma”. Otro tanto sucede con la STC 47/2019, como se expone en el fundamento jurídico tercero del auto impugnado. Para el juzgado, esa sentencia “nada concreta sobre la posible retroactividad de [su] interpretación, por lo que entiende […] que debe prevalecer […] la fuerza de cosa juzgada de la sentencia firme ya dictada y el principio de seguridad jurídica”. Continúa argumentando que la “eficacia temporal del cambio de criterio jurisprudencial debe ser templada cuando su aplicación se traduce, en la práctica, en la exigencia de un requisito procesal de carácter formal del que depende la acción o el recurso que no se entendía exigible en el momento de la presentación del escrito, pues así lo impone el parámetro constitucional de la racionalidad de la decisión judicial y los principios de seguridad jurídica, confianza legítima, interdicción de la arbitrariedad y principio tempus regit actum, los cuales [se] entiende incompatibles con declarar en este momento la nulidad de todo lo actuado”. Finalmente, se reconoce el “especial deber que tienen los órganos judiciales de garantizar la efectividad de los actos de comunicación procesal, dada su vinculación [con] el derecho fundamental de defensa y a una tutela judicial efectiva”. No obstante, señala que, por un lado, “hay constancia de la correcta remisión del acto de comunicación”, y por otro, que el emplazamiento se hizo siguiendo las “instrucciones dadas por el Ministerio de Justicia en el año 2016”. De manera que solo “tras el fallo de la citada sentencia del Tribunal Constitucional de fecha 8 de abril de 2019 [es] cuando el Ministerio de Justicia ha comunicado a todos los secretarios de gobierno de tribunales superiores de justicia, Audiencia Nacional y Tribunal Supremo la obligación de notificar la citación o primer emplazamiento a las sociedades y demás personas jurídicas demandadas en su domicilio, y no mediante comunicación telemática a través de la dirección electrónica habilitada facilitada por el Ministerio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 resolución impugnada vulnera el derecho a la tutela judicial efectiva, sin indefensión, así como el derecho de defensa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que considera de interés, la entidad recurrente afirma que el órgano judicial incumplió la normativa procesal (art. 155.2 LEC), al haber notificado telemáticamente el primer emplazamiento, cuando la norma exige que se haga de forma personal y con entrega de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 se respetaron las cautelas o garantías de este primer acto de comunicación y que, por dicha causa, se ha tramitado el proceso inaudita altera pars. En apoyo de dicha alegación, se detiene en la doctrina constitucional, en particular en la citada en las SSTC 6/2019, de 17 de enero y 47/2019, de 8 de abril, y censura el razonamiento contenido en el auto resolutorio del incidente de nulidad pues estima que “la juez a quo no ha percibido que la prescripción del art. 155.1 de la LEC está directamente conectado con el derecho de acceso al proceso y a la tutela judicial efectiva del art. 24.1 de la CE” y enfatiza que siendo conocida por el órgano judicial la doctrina constitucional, resulta “doblemente lesivo del derecho a la tutela judicial, pues reitera a sabiendas la lesión inicialmente producida, en lugar de subsanarla”.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Sistematiza la recurrente los motivos de especial trascendencia constitucional en tres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Particularidad sobre la aplicación directa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este apartado que el auto de fecha 20 de enero de 2020, que deniega la nulidad de actuaciones, “no aplica ni la letra de los arts. 5.1 y 7.1 y 2 de la LOPJ ni los principios”; añade que estos preceptos subrayan la vinculación directa de la Constitución y exigen, art. 5.1 de la Ley Orgánica del Poder Judicial (LOPJ), una interpretación y aplicación de las leyes según la letra de esas disposiciones constitucionales y los principios generales que emanan de las mismas en tanto que el art. 7 LOPJ, tras reiterar el vínculo directo del criterio judicial con nuestra Constitución, hace una mención especial al reconocimiento y protección de los derechos y libertades fundamentales “sin que las resoluciones judiciales puedan restringir, menoscabar o inaplicar dicho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recurrente que “el razonamiento que le lleva a la juez a quo a la no subsanación del incorrecto emplazamiento del litigante contiene una desvinculación entre la proclamación contenida en el art. 24.1 de la CE, sobre la tutela judicial efectiva y el derecho a un proceso sin indefensión, y el criterio judicial, ya que según se razona equivocadamente en la resolución los jueces y tribunales no pueden establecer o encontrar el nexo de sus decisiones en la norma fundamental, salvo por la intermediación del Tribunal Constitucional”, lo que estima de “relevancia e interés constitucional claro, para que los jueces y tribunales tengan la constatación de que la cúspide normativa de nuestro ordenamiento jurídico (CE) debe ser asequible a la aplicación directa; mucho más —añadimos— cuando la legalidad ordinaria es conforme a la Constitución y hubiera bastado con haber respetado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Resistencia al acatamiento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el recurrente que “subyace en la construcción del auto una posición ab initio contraria a la aplicación de la doctrina del Tribunal Constitucional, la cual era clara y patente para la juez a quo. No es posible que desde una sana sensibilidad jurídica hacia el derecho fundamental se construyan unos razonamientos que lleven a lo contrario de lo que es accesible para cualquier jurista, desde la simple lectura del texto constitucional hasta las reflexiones efectuadas por el Tribunal Constitucional en sus sentencias. Mucho más cuando se advierte a tiempo que, con posterioridad al primer acto de lesión del derecho fundamental —el decreto de emplazamiento—, el Tribunal Constitucional se ha pronunciado en contra de la práctica procesal que hemos denunciado en todo el recurso de amparo, por lo que había momento para corregir la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Resoluciones contradictorias.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el recurrente que por el órgano judicial “en unos casos se acogió la nulidad de actuaciones y se procedió a nuevo emplazamiento, mientras que en otros casos —como el presente— se denegó la subsanación”; considera irrelevante que “los resultados contradictorios estén pronunciados por servidores del órgano distintos por razón del cambio de la persona titular del juzgado que nos ocupa. Lo importante es que estas aporías generan un estado de inseguridad y de arbitrariedad que repugna a cualquier conciencia ciudadana, y mucho más al sentir de la comunidad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dictó providencia el 19 de octubre de 2020 por la que acordó: (i) admitir a trámite el recurso, “apreciando que concurre en el mismo una especial trascendencia constitucional (art. 50.1 LOTC) como consecuencia de que el órgano judicial pudiera haber incurrido en una negativa manifiesta del deber de acatamiento de la doctrina de este tribunal [STC 155/2009, FJ 2 f)]”; y (ii) dirigir atenta comunicación al Juzgado de Primera Instancia e Instrucción núm. 2 de Benavente, a fin de que remita “certificación o fotocopia adverada de las actuaciones correspondientes al procedimiento ordinario núm. 297-2018”, debiendo “emplazarse […] a quienes hubieran sido parte en el procedimiento” de origen, excepto a la “recurrente en amparo”, para poder comparecer en el presente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9 de noviembre de 2020, el procurador de los tribunales don Alberto del Hoyo López, actuando en nombre y representación de REC Accesorios, S.L., bajo la dirección letrada de don Marco Antonio Furones Gil, solicitó que se le tuviera por personado en este recurso, entendiéndose con esa representación las sucesivas diligencias y notificaciones que se produjeran.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25 de noviembre de 2020 se acordó, de un lado, tener por personada y parte a la entidad REC Accesorios, S.L., a través del procurador mencionado, y de otro, dar vista de las actuaciones a las partes personadas y al Ministerio Fiscal, por plazo común de veinte días, a fin de que pudieran presentar las alegaciones que estimen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representante procesal de la entidad recurrente presentó su escrito de alegaciones el 5 de enero de 2021. En el mismo interesó que se dictara resolución estimatoria del recurso de amparo reiterando los argumentos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presentó escrito de alegaciones el 21 de diciembre de 2020, por el que interesó de este tribunal que dictara sentencia otorgando el amparo a la recurrente, con reconocimiento de la vulneración de su derecho a la tutela judicial efectiva sin indefensión (art. 24.1 CE), y su restablecimiento mediante la declaración de nulidad de “todo lo actuado desde la notificación efectuada electrónicamente del decreto de 17 de septiembre de 2018 por el que se admitió a trámite la demanda y se acordó emplazar a la parte demandada en el procedimiento ordinario 297-2018 del Juzgado de Primera Instancia e Instrucción núm. 2 de Benavente”, así como la retroacción de las actuaciones “al momento inmediatamente anterior a dicha notificación para que se le dé al recurrente [la]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la fiscal comienza con una reseña de los antecedentes que considera de interés, para continuar señalando que nos encontramos ante el mismo supuesto que ya fue resuelto en sentido estimatorio mediante las SSTC 40/2020, de 27 de febrero y 43/2020, de 9 de marzo, cuyo contenido extracta parcialmente. En estas resoluciones se concedió el amparo solicitado por aplicación de la doctrina expuesta, a su vez, en las SSTC 6/2019, de 17 de enero y 47/2019, de 8 de abril, de las que se deriva la obligatoriedad de que el primer emplazamiento se realice de manera personal y con entrega en papel de la documentación, conforme a lo dispuesto en el art. 155.2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representante procesal de REC Accesorios, S.L., presentó su escrito de alegaciones el 7 de enero de 2021. En su escrito solicita la inadmisión del recurso de amparo por ausencia de trascendencia constitucional que justifique un pronunciamiento sobre el fondo. Señala que en el presente caso, si bien se alegan tres motivos que en su enunciado justificarían la especial trascendencia constitucional, no se contiene en el desarrollo argumental de referidos motivos por qué el contenido del recurso merece una decisión de fondo, más allá del interés propio del recurrente de la reparación de la eventual lesión de derechos fundamentales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considera que no hay vulneración del derecho fundamental a la tutela judicial efectiva. En primer lugar, afirma que la referida sentencia del Tribunal Constitucional no es aplicable al presente caso porque resuelve un recurso interpuesto frente a un auto dictado por el Juzgado de lo Social núm. 1 de Toledo en materia laboral, siendo por tanto de aplicación los arts. 53 y siguientes de la Ley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señala que se ha seguido el procedimiento legalmente establecido, pues las notificaciones se han realizado en la dirección electrónica habilitada y constan recibidas en destino, sin que se haya acreditado que por la demandada se hubiera revocado esa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alega que el proceder judicial en relación a la notificación realizada no es en absoluto caprichoso y tampoco emplea argumentos de la doctrina administrativa para resolver un asunto de lesión de derechos fundamentales. La notificación está correctamente realizada, pues el órgano judicial se adecuó a los requisitos procesales exigidos tras la promulgación de la Ley 42/2015, de 5 de octubre, que obligó a las personas jurídicas a relacionarse con la administración de justicia por vía telemática a través de la dirección electrónica habilitada. Insiste en que el Juzgado actuó de conformidad con lo dispuesto por la Ley y la interpretación jurisprudencial y doctrinal que se hacía de la norma en el momento de practicar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11 de marzo de 2021 se señaló para deliberación y votación de la presente sentencia el día 15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de amparo plantea un supuesto de hecho idéntico a los ya resueltos en anteriores precedentes de este tribunal, en los que se impugnaba la actuación judicial consistente en la inadmisión de incidentes de nulidad de actuaciones, por considerar realizados conforme a derecho las notificaciones de la admisión de una demanda y el consiguiente emplazamiento para personación a través del servicio de notificaciones electrónicas y de dirección electrónica habilitada de la Fábrica Nacional de Moneda y Timbre.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vulneración del derecho a la tutela judicial efectiva, en su vertiente de derecho a no padecer indefensión, al no haberse efectuado aquel emplazamiento de manera personal y con entrega en papel de la documentación correspondiente, tal y como establecen las normas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 la demanda. La parte contraria en el procedimiento judicial de origen interesa la desestimación del recurso por los motivos recogidos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análisis de fondo, hemos de efectuar una consideración previa en relación con el óbice procesal alegado por la representación procesal de la entidad REC Accesorios, S.L., relativo a la falta de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tenido la oportunidad de señalar en otras ocasiones, el momento procesal idóneo para el análisis del cumplimiento de este requisito material de admisibilidad es el trámite de admisión de la demanda de amparo (SSTC 126/2013, de 3 de junio, FJ 2; 170/2013, de 7 de octubre, FJ 2, y 191/2013, de 18 de noviembre, FJ 2), correspondiendo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(SSTC 95/2010, de 15 de noviembre, FJ 4; 47/2014, de 7 de abril, FJ 2, y 54/2015, de 16 de marzo, FJ 4). Pues bien, en tal fase procesal apreciamos —sin que encontremos ahora razones para modificar esa inicial apreciación— que concurre en el mismo una especial trascendencia constitucional “como consecuencia de que el órgano judicial pudiera haber incurrido en una negativa manifiesta del deber de acatamiento de la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en el procedimiento de origen considera que no se cumple el requisito de la especial trascendencia constitucional de este recurso porque, si bien en la demanda se alegan tres motivos que en su enunciado justificarían la especial trascendencia constitucional, no se razona en el desarrollo argumental de los referidos motivos por qué el contenido del recurso merece una decisión de fondo, más allá de la propia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un análisis de la justificación de la especial trascendencia constitucional alegada en la demanda, nos lleva a la conclusión de que esta expone y argumenta los motivos por los que entiende que concurre este requisito procesal. El recurrente no alega ningún apartado concreto de la STC 155/2009, pero de los términos de su escrito se deduce que invoca un incumplimiento del deber del órgano judicial de acatar la doctrina de este tribunal y, así, literalmente el segundo de los apartados, de los tres en que divide la justificación de la especial trascendencia constitucional del recurso, lleva por rúbrica “Resistencia al acatamiento de la doctrina constitucional”. En este apartado señala el recurrente que el auto recurrido recoge los pronunciamientos del Tribunal Constitucional sobre la materia, pero “subyace en la construcción del auto una posición ab initio contraria a la aplicación de la doctrina del Tribunal Constitucional, la cual era clara y patente para el juez a quo”. Añade que, “se advierte a tiempo que, con posterioridad al primer acto de lesión del derecho fundamental —el decreto de emplazamiento—, el Tribunal Constitucional se ha pronunciado en contra de la práctica procesal que hemos denunciado en todo el recurso de amparo, por lo que había momento para corregir la lesión”. De ahí se desprende, continúa el recurrente, “una obstrucción directa a la aplicación de la Constitución en el caso, que contraría toda la doctrina del Tribunal Constitucional al respecto, resistiendo a dejar sin efecto una resolución judicial —el emplazamiento— bajo una argumentación fútil que se condensa en que se ha conocido su carácter contrario a la Constitución demasiado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mediante dicha alegación la mercantil recurrente cumple con la previsión del art. 49.1 in fine LOTC, según la cual, en todo caso, “la demanda justificará la especial trascendencia constitucional del recurso”, y con la carga procesal que la misma encarna, así como con la finalidad de colaborar con la justicia constitucional que dicha previsión pretende, (STC 178/2012, de 15 de octubre, FJ 3), satisfaciendo el “esfuerzo argumental” exigido (ATC 154/2010, de 15 de noviembre, FJ 4). En efecto, la recurrente ha tratado de justificar la especial trascendencia constitucional del recurso en el hecho de existir una doctrina específica del Tribunal Constitucional sobre el cabal entendimiento del art. 155.1 LEC y su conexión con el art. 24.1 CE que el órgano judicial decide no aplicar. De este modo, no se ha limitado a efectuar una mera afirmación sobre la existencia de la vulneración de un derecho fundamental, como sostiene la representación de REC Accesorios, S.L., y que en modo alguno permitiría el cumplimiento de la carga procesal exigida, sino que ha disociado adecuadamente la argumentación tendente a evidenciar la existencia de la lesión del derecho fundamental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el óbice planteado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del Tribunal Constitucional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desestimada la cuestión formal alegada, y planteado el debate en los términos descritos, debe indicarse que el Pleno de este tribunal ha dictado la STC 40/2020, de 27 de febrero, en la que ha tenido la oportunidad de resolver un recurso de amparo donde se dio respuesta a los mismos argumentos que defienden aquí las partes, con fallo estimatorio de la demanda. El pronunciamiento contenido en la citada STC 40/2020, ha sido ulteriormente reiterado en las SSTC 43/2020, de 9 de marzo; 55/2020, de 15 de junio; 76/2020, de 29 de junio; 176/2020, de 30 de noviembre, o 33/2021,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en este caso la concurrencia de algún elemento distintivo que obligue a una fundamentación o resultado diferente a lo declarado entonces, procede por tanto que hagamos aplicación de la doctrina expuesta en el citado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fundamento jurídico 3 de esa resolución se advierte que es de aplicación la doctrina de este tribunal plasmada en sus SSTC 6/2019, de 17 de enero, FJ 4 a), dictada en sede de cuestión de inconstitucionalidad, y 47/2019, de 8 de abril, FJ 4 a), recaída en proceso de amparo. En ambos supuestos se afirma la “garantía del emplazamiento personal del demandado o ejecutado en los procesos regidos en esta materia por la LEC (directa o supletoriamente), como primera comunicación con el órgano judicial competente, sin que pueda ser sustituida por una comunicación electrónica”, tal y como ocurre con la efectuada a través de la dirección electrónica habilitada. El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[del] derecho fundamental” a la tutela judicial efectiva, como ya ha declarado este tribunal en varios recursos de amparo referidos a procesos laborales, civiles y concursales, que se especifican en el mismo fundamento jurídico 3, precisamente en aplicación de la doctrina de referencia (ver, en tal sentido, las SSTC 102/2019, de 16 de septiembre, FJ 2; 150/2019, de 25 de noviembre, FJ 3; 7/2020, de 27 de enero, FJ 2; 122/2019, de 28 de octubre, FJ 3, y STC 129/2019, de 11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constata la STC 40/2020, en su fundamento jurídico 4, como ha de hacerse también en el presente supuesto, que las resoluciones judiciales impugnadas vulneraron el derecho a la tutela judicial efectiva de la recurrente. El juzgado optó por un emplazamiento a través del servicio de notificaciones electrónicas y dirección electrónica habilitada de la Fábrica Nacional de Moneda y Timbre, que no está previsto en la normativa procesal para estos casos. Ese sistema de notificación determinó que el procedimiento se siguiera a espaldas de la entidad ahora recurrente, que no pudo ejercer las acciones que tuviera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tuvo conocimiento del proceso, y planteado el correspondiente incidente de nulidad de actuaciones, este fue indebidamente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entidad recurrente expuso ante el juzgado la existencia de una doctrina consolidada de este tribunal, y el juzgado rechazó su aplicación mediante la invocación de su supuesta irretroactividad y de una pretendida primacía vinculante de unas instrucciones gubernativas sobre los sistemas de notificaciones telemáticas.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empleados en el auto impugnado no pueden ser acogidos. El juzgado consideró que no debía aplicar la doctrina de este tribunal, argumentando para ello lo dispuesto en los arts. 31.1 y 40 LOTC que, como el propio juzgado reconoce, están previstos para los procedimientos de inconstitucionalidad de disposiciones normativas (art. 40 LOTC), de naturaleza muy diversa a la que nos ocupa. Menor consistencia tiene el argumento de que se actuó en cumplimiento de las instrucciones gubernativas recibidas sobre la utilización del sistema de notificaciones telemáticas con las personas jurídicas, que se modificaron con posterioridad a las sentencias de este tribunal invocadas en el incidente. De esta forma, el juzgado obviaba el deber contenido en el art. 5.1 LOPJ de interpretar y aplicar las leyes y los reglamentos según los preceptos y principios constitucionales, “conforme a la interpretación de los mismos que resulte de las resoluciones dictadas por el Tribunal Constitucional en todo tipo de procesos”. Una vez invocada la doctrina de este tribunal, el juzgado debió aplicarla en el caso concreto a fin de reparar la vulneración alegada, lo que no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estimación del amparo por vulneración del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igualmente, el restablecimiento del derecho vulnerado, acordando la nulidad de la resolución impugnada y de todo lo actuado en el procedimiento de origen, desde el momento en que se proveyó al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Grúas Puente Rublán,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20 de enero de 2020, dictado por el Juzgado de Primera Instancia e Instrucción núm. 2 de Benavente, en el proceso ordinario núm. 297-2018, así como la nulidad de las actuaciones realizadas a partir del decreto de 17 de septiembre de 2018, por el que se acordó la admisión a trámite de la demanda y la notificación y emplazamiento a la parte demandada, ahora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posterior al dictado del decreto de 17 de septiembre de 2018, debiendo llevarse a cabo de nuevo por el juzgado el trámite de notificación y emplazamiento a la parte demandada,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