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7132-2019, promovido por Euroinversiones Inmobiliarias Costa Sur, S.L., contra el auto del Juzgado de Primera Instancia e Instrucción núm. 4 de Lorca, de 15 de noviembre de 2018, que inadmitió la demanda de oposición a la ejecución formulada por dicha mercantil, en el procedimiento de ejecución hipotecaria núm. 368-2018 instado por la entidad Banco de Sabadell, S.A., y contra el auto del mismo juzgado, de 24 de octubre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diciembre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43.258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del proceso, dictó auto el 21 de junio de 2018 por el que acordó el despacho de ejecución (procedimiento de ejecución hipotecaria núm. 368-2018),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22 de junio de 2018, el servicio de notificaciones electrónicas de la Fábrica Nacional de Moneda y Timbre remitió un correo al buzón de la dirección electrónica habilitada de la entidad aquí recurrente en amparo, avisándole de una notificación del Juzgado de Primera Instancia núm. 4 de Lorca relativa al proceso “EJH/0000368/2018”, notificación a la que podía acceder entre los días 22 de junio a 7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julio de 2018 por personal de la recurrente se accedió al enlace remitido por la dirección electrónica habilitada y, con ello, a la notificación enviada por el juzgado de primera instancia ejecutor en relación con el procedimiento hipotecario núm. 368-2018. También en esa fecha, la Fábrica Nacional de Moneda y Timbre emitió un certificado electrónico que obra en las actuaciones del proceso,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29 de agosto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4 de Lorca dictó auto el 15 de noviembre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Euroinversiones Inmobiliarias Costa Sur, S.L., representada por el procurador don Antonio Serrano Caro por estar presentada fuera de plazo, contra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el representante procesal de la demandante de amparo se interpuso recurso de reposición contra el anterior auto. En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ejecutor dictó auto el 24 de octubre de 2019 en desestimación del recurso de reposición, con los argumentos que expuso en su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Debe ser desestimado el recurso de reposición interpuesto por ser el auto por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31de julio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22 de junio de 2018, fecha en la que se materializó la ‘puesta a disposición’ de la notificación correctamente y del propio documento resulta que pasaron más de tres días desde la misma sin que se hubiera accedido al contenido hasta el día 31 de julio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15 de noviembre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24 de octubre de 2019,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24 de octubre de 2019 que desestimó el recurso de reposición promovido contra la anterior resolución —y del que se han expuesto sus argumentos—, se rechaza por la recurrente que el juzgado haya fundamentado su segunda decisión en una interpretación forzada y contradictoria de las normas procesales, al incluir indicaciones equívocas en el aviso de puesta a disposición, además de infringir las prescripciones sobre el primer emplazamiento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368-2018 seguido ante el Juzgado de Primera Instancia e Instrucción núm. 4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4 de noviembre de 2020 por la que acordó: (i) admitir a trámite el recurso, “apreciando que concurre en el mismo una especial trascendencia constitucional [art. 50.1 de la Ley Orgánica del Tribunal Constitucional (LOTC)] porque el recurso plantea un problema o afecta una faceta de un derecho fundamental sobre el que no hay doctrina de este tribunal [STC 155/2009, FJ 2 a)], o bien que el recurso puede dar ocasión al tribunal para aclarar o cambiar su doctrina como consecuencia de cambios normativos relevantes para la configuración del contenido del derecho fundamental [STC 155/2009, FJ 2 b)]”; (ii) constatar que el testimonio de las actuaciones ya había sido remitido a requerimiento de la Secretaría de Justicia de la Sección y emplazar a través del juzgado ejecutor a quienes hubieren sido parte en el procedimiento excepto a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1 de febrero de 2021,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9 de febrero de 2021 se acordó: (i) tener por personada y parte a la procuradora doña María Claudia Munteanu en nombre y representación de la sociedad indicada y (ii) dar vista de las actuaciones recibidas a las partes personadas y al Ministerio Fiscal por plazo común de veinte días para presentar alegaciones de conformidad con lo previsto en el art. 52. 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4 de marzo de 2021, por el que interesó de este tribunal que dictara sentencia otorgando el amparo a la recurrente, con reconocimiento de la vulneración de su derecho a la tutela judicial efectiva sin indefensión (art. 24.1 CE), declarando la nulidad de “todo lo actuado desde la notificación efectuada electrónicamente del auto despachando ejecución acordado por el Juzgado de Primera Instancia e Instrucción núm. 4 de Lorca, en el juicio de ejecución hipotecaria 368-2018”,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12 de marzo de 2021, por el que interesó se dictara resolución estimatoria del recurso de amparo, haciendo mención a la STC 40/2020, del Pleno del Tribunal Constitucional que resuelve el recurso de amparo 5377-2018 promovido por la misma parte Euroinversiones Inmobiliarias Costa Sur, S.L., “en un asunto prácticamente igual al del presente recurso de amparo” que refuerza las exigencias para llevar a efecto el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auto de la Sala Segunda de este tribunal núm. 153/2020, de 30 de noviembre,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16 de marzo de 2021,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4 de Lorca, de 15 de noviembre de 2018 y 24 de octubre de 2019, recaídos en el proceso hipotecario núm. 368-2018.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(art.24. 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15 de noviembre de 2018 y de 24 de octubre de 2019, dictados por el Juzgado de Primera Instancia e Instrucción núm. 4 de Lorca en el proceso de ejecución hipotecaria núm. 368-2018,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