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19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1004-2020, interpuesto por Aluminios Torralba, S.A., contra el auto de 15 de enero de 2020, dictado por el Juzgado de Primera Instancia núm. 14 de Murcia, que desestimó el incidente extraordinario de nulidad de actuaciones promovido por aquella entidad, en el procedimiento de ejecución hipotecaria núm. 1646-2013 instado por la entidad Banco de Sabadell, S.A.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febrero de 2020, el procurador de los tribunales don José Ramón Rego Rodríguez, actuando en nombre y representación de Aluminios Torralba, S.A., bajo la defensa del letrado don Román Arias Pintado, ha interpuesto recurso de amparo contra la resolución arriba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5 de noviembre de 2013, la entidad Banco de Sabadell, S.A., interpuso demanda ejecutiva contra la ahora recurrente, Aluminios Torralba, S.A., en reclamación de un determinado importe por impago de un préstamo garantizado con hipoteca sobre varios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la entidad ejecutante fijó como domicilio de Aluminios Torralba S.A., el de la calle Jara, 31, 3º A, de Cartagena. Este era el domicilio que figuraba, a efectos de notificaciones, en la escritura de constitución de la garantía hipotecaria, autorizada el día 14 de marzo de 2006. Mediante “primer otrosí digo”, la entidad demandante solicitaba “en virtud de lo dispuesto en el art. 152.1.2 LEC” que la “diligencia de requerimiento de pago […], así como la notificación del señalamiento de subasta, se practique por el procurador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correspondió por turno al Juzgado de Primera Instancia núm. 14 de Murcia. En fecha 19 de febrero de 2014, en el marco del procedimiento registrado como ejecución hipotecaria núm. 1646-2013, se dictó auto por el que se acordó despachar ejecución contra la ahora demandante de amparo, así como requerirle al pago de las cantidades reclamadas. En su parte dispositiva se indicaba que la notificación se realizaría en los términos del art. 553 de la Ley de enjuiciamiento civil (LEC). Mediante decreto de la misma fecha, el letrado de la administración de justicia dispuso la notificación “en el domicilio que resulte vigente en el registro conforme lo previsto en el artículo 686.2 LEC”, señalando a continuación que “teniendo su domicilio los demandados en Cartagena, se librará correo certificado con acuse de recibo”.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notificación y requerimiento de pago se intentó efectuar el día 3 de marzo de 2014, dando resultado negativo, con devolución al juzgado por resultar desconocido el destinatario en la dirección ubicada en la calle Jara 31, de Cartagena. Así se constató por diligencia de ordenación de fecha 8 de abril de 2014, por la que se dio traslado a la parte ejecutante “a fin de que inste lo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de 11 de abril de 2014, la parte ejecutante interesó que la notificación y requerimiento de pago se efectuaran en el domicilio de la representante legal de la ejecutada, doña Rosa María Salcedo Hernández, sito en la calle Gran Vía, 4, 1 de Murcia; solicitando de nuevo su práctica por el procurador de la parte actora. Así se acordó por diligencia de 25 de abril de 2014, que dispuso la “entrega de la documentación […] conforme a lo solicitado y dispuesto en el art. 152.1.2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entrega de 9 de mayo de 2014, el procurador de la parte ejecutante puso de manifiesto que, a las 13:55 horas de ese mismo día, se había constituido en el domicilio sito en la calle Gran Vía, 4, indicando en la diligencia que “el piso se encuentra cerrado y no se encuentra a nadie en su interior”, estando las “persianas bajadas”. La diligencia estaba firmada por el procurador y dos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31 de julio de 2014, previa solicitud en tal sentido de la parte ejecutante, se acordó realizar la notificación y requerimiento de pago “por medio de edicto”, conforme a lo “establecido en los artículos 156.4 y 164 LEC”, quedando expuesto en el tablón de anuncios del juzgado desde esa fecha hasta el 27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fecha 10 de diciembre de 2014, a instancia de la entidad ejecutante, se acordó la celebración de la subasta de los bienes hipotecados, que fue fijada para el día 29 de mayo de 2015. No obstante, en fecha 5 de mayo de 2015, se dictó la diligencia de ordenación en la que se indicaba lo siguiente: “Visto el estado de las presentes actuaciones se acuerda consultar el PNJ [punto neutro judicial] a fin de averiguar nuevo domicilio de la mercantil ejecutada. Visto el resultado de la consulta y no constando domicilio diferente del que obra en las actuaciones en el que poder practicar la diligencia de notificación de la subasta […] la publicación de edicto en el tablón de anuncios de la oficina judicial y en el portal de subastas judiciales del Ministerio de Justicia servirá de notificación en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actuaciones remitidas por el órgano judicial no consta que se hubiera realizado la consulta al punto neutro judicial ni, por lo tanto, el resultado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procedimiento judicial continuó su tramitación, mediante la celebración de subasta, el decreto de adjudicación fechado el 15 de febrero de 2018 y declarado firme por diligencia de 9 de marzo de 2018, así como el señalamiento para la entrada en la posesión de los inmuebles, notificado también por edicto en fecha 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diligencia de entrega fue intentada en fechas 30 de mayo y 6 y 14 de junio de 2018, siendo suspendida ante la presencia de inquilinos en los inmuebles, que aportaron el correspondiente contrato de arrendamiento de establecimiento de negocio, suscrito el 16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fecha 20 de junio de 2018, la entidad recurrente se personó en el procedimiento judicial, al haber tenido conocimiento de su existencia a través de los arrendatarios de los inmuebles hipotecados, y en fecha 4 de julio de 2018 interpuso un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alegó la vulneración del derecho a la tutela judicial efectiva (art. 24.1 CE), interesando la reposición de las actuaciones al momento de dictarse el auto y decreto de notificación y requerimiento de pago. Tras reseñar los antecedentes que consideró de interés, hizo una expresa invocación de la doctrina de este tribunal (con cita de las SSTC 245/2006, de 24 de julio; 104/2008, de 15 de septiembre; 28/2010, de 27 de abril; 122/2013, de 20 de mayo, y 137/2014, de 8 de septiembre), sobre la necesidad de agotar los medios de comunicación ordinarios, antes de acudir a la notificación edictal. Más en concreto, consideraba que el juzgado y la parte actora no habían realizado las gestiones necesarias para determinar el domicilio real de la entidad ejecutada. Si hubieran recabado la información del registro mercantil, hubieran comprobado que el mandato de doña Rosa María Salcedo Hernández estaba caducado. Tampoco consta practicada la averiguación del domicilio a través del punto neutro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incidente fue desestimado por medio de auto de 15 de enero de 2020, en cuyo fundamento jurídico segundo se argumenta que el domicilio en el que se intentó la notificación (calle Jara 31, 3º A, de Cartagena) es el que figura en la escritura de constitución del préstamo hipotecario de 14 de marzo de 2006, así como en la posterior escritura de novación de 30 de diciembre de 2009, por no contener modificación alguna al respecto. Igualmente, no consta que la prestataria comunicara la modificación de domicilio en los términos y con los efectos del art. 683 LEC. Finaliza señalando que también se intentó la notificación en el domicilio de la representante legal de la sociedad que aparece en las escrituras, lo que también resultó infructuoso. Por todo ello, el auto concluye que no concurre causa alguna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art. 24.1 CE, en su vertiente del derecho a la tutela judicial efectiva sin indefensión, ya que “no ha tenido conocimiento de la tramitación del proceso, y, por lo tanto, no pudo hacer valer en él los medios de oposición que la ley le confiere, dado que el órgano judicial le notificó la demanda de ejecución y le requirió de pago por edictos, en lugar de haber agotado los medios de averiguación domiciliaria que hubiesen permitido efectuar su emplazamiento de forma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demandante reitera las quejas formuladas en su escrito de planteamiento del incidente de nulidad de actuaciones y, tras reseñar los principales hitos del procedimiento judicial de origen, insiste en que “no consta en ningún momento que se hubiera practicado la consulta acordada a punto neutro judicial, ni que la mercantil actora ‘Banco de Sabadell, S.A.’, haya mostrado la necesaria diligencia en instar esa averiguación acordada ni tampoco la necesaria consulta el Registro Mercantil de Murcia”, incumpliendo lo dispuesto en el art. 155.3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considera que el asunto tiene especial trascendencia constitucional, porque el órgano judicial pudiera haber incurrido en una negativa manifiesta del deber de acatamiento de la doctrina de este tribunal [STC 155/2009, FJ 2 f)]”, ya que ni siquiera entró a valorar la jurisprudencia que le fue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expresa reseña de la doctrina contenida en las SSTC 150/2008, de 17 de noviembre; 78/2008, de 7 de julio; 122/2013, de 20 de mayo, y 6/2017, de 16 de enero, la entidad recurrente interesa la estimación de la demanda, con la declaración de la vulneración del derecho fundamental alegado, su restablecimiento mediante la nulidad del auto de 15 de enero de 2020, así como la nulidad y consiguiente retroacción de las actuaciones al momento del dictado del auto de 19 de febrero de 2014, a fin de poder formular la correspondiente oposición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otrosí digo la entidad demandante solicitó, al amparo del art. 56 de la Ley Orgánica del Tribunal Constitucional (LOTC), la medida cautelar de “suspensión del procedimiento de ejecución hipotecaria”, interesando su tramitación inaudita parte (art. 56.6 LOTC), con la finalidad de evitar perjuicios de imposible reparación que hicieran ineficaz la eventual sentencia estimatoria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Sección Cuarta, de este Tribunal Constitucional dictó providencia el día 4 de noviembre de 2020,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diríjase atenta comunicación al Juzgado de Primera Instancia núm. 14 de Murcia, a fin de que, en plazo que no exceda de diez días, remita certificación o copia adverada de las actuaciones correspondientes al Procedimiento de Ejecución Hipotecaria núm. 1646-2013;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Fórmese la oportuna pieza separada para la sustanciación de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la misma fecha, dictada por la Sección Cuarta de este tribunal,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 En fecha 16 de noviembre de 2020, la entidad recurrente presentó su escrito de alegaciones, ratificando la petición formulada en la demanda, complementada por el hecho de que en el procedimiento judicial de origen se había personado la entidad Promontoria Coliseum Industrial Assets, en su condición de nuevo titular de los inmuebles hipotecados. Por su parte, el Ministerio Fiscal, mediante escrito de 23 de noviembre de 2020, interesó que se adoptara únicamente la medida de anotación preventiva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acordó por medio de ATC 157/2020, de 30 de noviembre, dictado por la Sala Segunda de este tribunal, en el que se denegó la suspensión solicitada y se ordenó la anotación preventiva de la demanda de amparo en el registro de la propiedad, con remisión al referido juzgado para la expedición del mandamiento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fecha 18 de diciembre de 2020, la secretaria de Justicia de la Sala Segunda de este tribunal acordó tener por personado y parte en el procedimiento a la procuradora doña María Dolores Alcocer Antón, en nombre y representación de Promontoria Coliseum Industrial Assets, que había solicitado su personación en fecha 11 de diciembre. No obstante, esta personación quedada condicionada expresamente a la acreditación de la representación que decía ostentar, mediante la correspondiente escritura de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esta resolución se acordó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recurrente presentó su escrito de alegaciones en fecha 26 de enero de 2021, ratificándose íntegramente en el contenido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ante el Tribunal Constitucional presentó su escrito de alegaciones el día 5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fácticos que consideró más relevantes, señala que el objeto de la demanda coincide con el que fue objeto de resolución en las SSTC 30/2014 y 181/2015, para centrarse en el precedente recogido en la STC 187/2020, FJ 3, que recuerda la doctrina expuesta en la STC 122/2013, de 20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Fiscal, no consta que se hubiera practicado la consulta acordada al punto neutro judicial, y tampoco se llevó a efecto ninguna otra diligencia a través de los organismos públicos a los que se remite el art. 155.3 LEC, ni por los medios que se recogen en el art. 156 LEC, a fin de conocer el domicilio de la demandada. De esta forma, el órgano judicial no tuvo en cuenta el deber de velar por la correcta ejecución de los actos de comunicación procesal, y tampoco se aseguró de que dichos actos han de servir a su propósito de garantizar que la parte sea oída en el proceso, lo que comporta la exigencia del emplazamiento personal, y el agotamiento de los medios de averiguación domiciliaria antes de proceder a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finaliza interesando que se estime el presente recurso de amparo y que, en consecuencia, se reconozca que se ha vulnerado el derecho a la tutela judicial efectiva sin indefensión (art. 24.1 CE), y que se le restablezca en su derecho, “acordándose la nulidad de todo lo actuado desde la notificación edictal por la cual se emplazó a la demandada en el procedimiento judicial de origen”, con retroacción de las actuaciones “al momento inmediatamente anterior a dicha notificación para que se le dé al recurrente posibilidad de comparecer en el proceso y actuar en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providencia de fecha 9 de febrero de 2021, la Sección Cuarta de este tribunal acordó tener por decaída en su derecho a la entidad Promontoria Coliseum Industrial Assets, al no haber subsanado el defecto que se le puso de manifiesto en la diligencia de ordenación de 18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Secretaría de Justicia ha dictado diligencia el día 11 de marzo de 2021, dejando constancia de la presentación de los escritos de alegaciones del Ministerio Fiscal y de la representación procesal de la entidad recurrente, “quedando el presente recurso de amparo pendiente para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15 de abril de 2021,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el auto de 15 de enero de 2020, dictado por el Juzgado de Primera Instancia núm. 14 de Murcia, que desestimó el incidente de nulidad de actuaciones promovido por la actora en el procedimiento de ejecución hipotecaria núm. 1646-2013, instado por la entidad Banco de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denuncia que la resolución impugnada ha vulnerado su derecho a la tutela judicial efectiva y a no sufrir indefensión (art. 24.1 CE). El órgano judicial ha iniciado, tramitado y resuelto un procedimiento de ejecución hipotecaria sin haberle dado conocimiento del mismo, y sin que se hayan agotado todos los mecanismos previstos en el art. 686.3 LEC antes de proceder a la notificación por edictos. El auto impugnado no la ha restablecido en su derecho, al haberle denegado toda posibilidad de rectificación de las irregularidades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procede estimar el recurso y declarar que el citado derecho fundamental ha sido vulnerado por las razones ya expuestas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del Tribunal Constitucional sobre los actos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en reiteradas ocasiones sobre el problema aquí planteado acerca de la comunicación del procedimiento de ejecución hipotecaria en el caso de que sea negativa la notificación y el requerimiento de pago en el domicilio que consta en la escritura del préstamo o en el registro de la propiedad y, más concretamente, sobre la necesidad de que el órgano judicial agote las posibilidades de averiguación del domicilio real antes de acudir a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 carácter general, ha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(STC 122/2013,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solo puede utilizarse cuando se hayan agotado los medios de averiguación del domicilio del deudor o ejecutado” (STC 122/2013, FJ 5). Esta doctrina ha sido reiterada en pronunciamientos posteriores (SSTC 83/2018, de 16 de julio, FJ 4; 29/2020, de 24 de febrero, FJ 3; 62/2020, de 15 de junio, FJ 2, y 86/2020, de 20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también ha señalado este Tribunal que no puede estimarse la consulta al punto neutro judicial “como único medio posible de investigación del paradero del demandado” para entender agotadas las posibilidades de localización, si cabe realizar “otras pesquisas, que por el contenido de las actuaciones”, puedan encontrarse “razonablemente a su alcance” (STC 50/2017, de 8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la queja planteada debe partir necesariamente de una aproximación detallada a los datos fácticos obrantes en la causa para, seguidamente, verificar si se dio cumplimiento a la doctrina de este tribunal sobre la cuestión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la entidad Banco de Sabadell, S.A., iniciadora del proceso de ejecución, fijaba como domicilio de la parte ejecutada, a efectos de notificaciones, el de la calle Jara, 31, 3 A, de Cartagena. Se trataba del domicilio establecido a tal efecto en la escritura de constitución de la garantía hipotecaria (cláusula décima). Sin embargo, el intento de notificación llevado a cabo el día 3 de marzo de 2014 en ese domicilio fue negativo, por resultar desconocido el destinatario. Otro tanto ocurrió con el nuevo intento realizado en fecha 9 de mayo de 2014 en la calle Gran Vía, 4, 1 de Murcia, identificado como domicilio de la persona que figuraba como representante de la ejecutada en la escritura de constitución de la hipoteca. La diligencia dejó constancia de que el piso estaba cerrado, sin personas en su interior y con las persianas bajadas.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esos intentos frustrados, el órgano judicial procedió a la notificación edictal en fecha 31 de julio de 2014, continuando la tramitación del procedimiento al margen de la entidad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solo cuando se acordó la fecha concreta del señalamiento de la subasta de los inmuebles hipotecados, en el mes de mayo de 2015, el juzgado acordó la averiguación del domicilio de la recurrente a través del punto neutro judicial. Sin embargo, no consta que esta diligencia se practicara. El testimonio de las actuaciones obrante en autos no recoge la solicitud ni el resultado de una hipotética petición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no realizó, ni de oficio, ni tampoco a instancia de la ejecutante, ninguna otra actuación indagatoria sobre el domicilio de la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constata que el órgano judicial de instancia no ha observado la diligencia debida y ha incumplido la doctrina constitucional anteriormente expuesta en las actuaciones realizadas hasta la terminación del proceso de ejecución. Ante la situación descrita, con dos intentos infructuosos de notificación personal, el juzgado tenía la obligación de realizar las averiguaciones pertinentes para determinar el domicilio del deudor antes de acudir a la comunicación edictal, tal y como dispone la interpretación conjunta de los arts. 686.3 y 164 LEC. El órgano judicial tenía ante sí un abanico de posibilidades, todas ellas razonablemente a su alcance, que no fueron llevadas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debería haber intentado la notificación en la dirección de la propia finca hipotecada, al tratarse de naves para usos industriales, según se recoge en la escritura y se constata con el hecho de que se celebrara un ulterior contrato de arrendamiento de negocio, aportado en la causa con anterioridad a la resolución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juzgado podría haber requerido a la parte ejecutante para que ampliara la información sobre la parte demandada, en cumplimiento de la obligación recogida con carácter general en el art. 155.2 LEC. Este precepto es aplicable a este supuesto porque regula los actos de comunicación con las partes aún no personadas, y establece la obligación para el demandante de “indicar cuantos datos conozca del demandado y que puedan ser de utilidad para la localización de este, como números de teléfono, de fax, dirección de correo electrónico o similares”. Se trata de un deber de la parte demandante (en este caso, ejecutante) que, a su vez, debe ser susceptible de control por parte del órgano judicial en su labor de actuar en garantía de los derechos de las partes en el proceso (art. 117.4 CE, en relación con el derecho a la tutela judicial efectiva del art. 24.1 CE). Esto tiene particular relevancia en un caso como el presente, en el que el juzgado habilitó al representante procesal de la parte ejecutante para que realizara las notificaciones. Esta posibilidad, prevista en el art. 152.1.2 LEC, ha de exigir una posterior labor de verificación judicial, a fin de evitar cualquier situación de desigualdad entre las partes o de indefensión para alguna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juzgado podría haber interesado la información obrante en el registro mercantil de Murcia, teniendo en cuenta que la ejecutada era una persona jurídica constituida como sociedad. De hecho, si el órgano judicial hubiera realizado esa consulta tras el primer intento fallido de notificación, habría advertido que la persona que figuraba en la escritura de hipoteca como representante de la entidad ejecutada tenía su mandato caducado y, por lo tanto, hubiera sido previsible el resultado del segundo intento frustrado de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desde luego, el juzgado podría haber acudido a la consulta del punto neutro judicial, tal y como acordó —aunque no ejecutó— en una fase ulterior del procedimiento, ya en el año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conduce a considerar que el órgano judicial no extremó su diligencia en la averiguación del domicilio del deudor ejecutado. Por el contrario, sin haber agotado las posibilidades de notificación personal acudió al sistema de edictos, generándole a la demandante de amparo una real y efectiva indefensión, ya que el proceso se tramitó enteramente a sus espaldas. Posteriormente, cuando la parte ejecutada puso de manifiesto esta situación a través del instrumento procesal adecuado, como es el incidente de nulidad de actuaciones previsto en el art. 241 de la Ley Orgánica del Poder Judicial, y con expresa invocación de la doctrina de este tribunal, el juzgado mantuvo la situación de indefensión sin reparar la lesión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debe acarrear la nulidad del auto de 15 de enero de 2020, dictado por el Juzgado de Primera Instancia núm. 14 de Murcia, que desestimó el incidente de nulidad de actuaciones promovido por la mercantil recurrente en el procedimiento de ejecución hipotecaria núm. 1646-2013. Asimismo, como medida de restablecimiento del derecho, hemos de acordar la retroacción de las actuaciones hasta el momento inmediatamente anterior al del requerimiento de pago, a fin de que se provea por el órgano judicial a la notificación de la demanda ejecutiva y de dicho requerimiento a la recurrente en términos respetuosos con su derecho fundamental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Aluminios Torralba,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15 de enero de 2020, dictado por el Juzgado de Primera Instancia núm. 14 de Murcia, en el proceso de ejecución hipotecaria núm. 1646-2013, así como la nulidad de las actuaciones realizadas a partir del auto de 19 de febrero de 2014 por el que se acordó el despacho de la ejecución y el requerimiento de pago a la entidad deudora.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requerimiento de pago a Aluminios Torralba, S.A., debiendo llevarse a cabo su notificación a la parte ejecutada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