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100</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10 de mayo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los magistrados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7528-2019, promovido por Euroinversiones Inmobiliarias Costa Sur, S.L., contra el auto del Juzgado de Primera Instancia e Instrucción núm. 4 de Lorca, de 14 de noviembre de 2018, que inadmitió la demanda de oposición a la ejecución formulada por dicha mercantil, en el procedimiento de ejecución hipotecaria núm. 349-2018 instado por la entidad Banco de Sabadell, S.A., y contra el auto del mismo juzgado, de 30 de octubre de 2019, que desestimó el recurso de reposición interpuesto contra la anterior resolución. Ha intervenido el Ministerio Fiscal. Se ha personado la entidad Pera Assets Designated Activity Company, actuando como sucesora procesal del banco ejecutante.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26 de diciembre de 2019,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núm. 43.427, inscrita en el Registro de la Propiedad núm. 3 de Lorca,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4 de Lorca, al que correspondió el conocimiento del proceso, dictó auto el 18 de junio de 2018 por el que acordó el despacho de ejecución (procedimiento de ejecución hipotecaria núm. 349-2018),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20 de junio de 2018, el servicio de notificaciones electrónicas de la Fábrica Nacional de Moneda y Timbre remitió un correo al buzón de la dirección electrónica habilitada de la entidad aquí recurrente en amparo, avisándole de una notificación del Juzgado de Primera Instancia e Instrucción núm. 4 de Lorca relativa al proceso “EJH/0000349/2018”, notificación a la que podía acceder entre los días 20 de junio a 5 de agosto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27 de julio de 2018, dentro del plazo concedido para acceder a la notificación, la recurrente accedió a la página web indicada en el aviso de puesta a disposición de la notificación, y procedió a la descarga de la misma, emitiéndose por el servicio de notificaciones electrónicas y dirección electrónica habilitada de la Fábrica Nacional de Moneda y Timbre el pertinente certificado electrónico, que acredita el conocimiento por la destinataria del auto de despacho de ejecución, del decreto de igual fecha, del requerimiento de pago, así como de la demanda y demás documentos acompañados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28 de agosto de 2018, el representante procesal de la demandante de amparo presentó ante el juzgado a quo el escrito de oposición al despacho de ejecución, acompañando una serie de documentos. Respecto del cómputo del plazo, entiende que al haber sido notificada en fecha de 27 de julio de 2018, y siendo agosto mes inhábil, el plazo para la presentación de la oposición a la ejecución hipotecaria vencía el día 12 de septiembre de 2018, por lo que la oposición estaba presentada dentro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Juzgado de Primera Instancia e Instrucción núm. 4 de Lorca dictó auto, el 14 de noviembre de 2018, inadmitiendo el escrito de oposición a la ejecución, al considerar precluido el trámite (arts. 134 y 136 LEC, en relación con el art. 695 LEC). Así, sostiene que debió haberse planteado la oposición dentro de los diez días siguientes a la notificación del auto y decreto por el que se despachó la ejecución (de fecha de 20 de junio de 2018) y la ejecutada lo hizo con fecha de 28 de agosto de 2018, es decir, pasado el término concedido para ello. Como pie de recurso, se ofrecía recurso de reposición en el plazo de cinco días ante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representante procesal de la demandante de amparo interpuso recurso de reposición contra el anterior auto, denunciando la vulneración del art. 24 CE y sosteniendo que la notificación y requerimiento de pago tuvo lugar cuando accedió al contenido de la notificación electrónica remitida y no antes, siendo desde entonces que cabía computar el plazo de diez días del art. 556 de la Ley de enjuiciamiento civil (en adelante, LEC). Con invocación también de los arts. 135, 152.1.2.3, 155.2, 162 y 273 LEC, y doctrina de este Tribunal Constitucional sobre el derecho a no padecer indefensión y la importancia de los actos de comunicación procesal, afirmó que de no tener el juzgado por formulada su demanda de oposición al despacho de ejecución, se vulneraría su derecho a la tutela judicial efectiva y sin indefensión,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 fecha de 30 de octubre de 2019, el juzgado dictó auto desestimatorio del recurso de reposición, al constatar la condición de persona jurídica de la ejecutada y, como tal, su obligación de relacionarse con la administración de justicia por medios electrónicos, de conformidad con lo previsto en la disposición transitoria cuarta de la Ley 42/2015, de 5 de octubre, de reforma de la Ley 1/2000, de 7 de enero, de enjuiciamiento civil así como en el artículo 14.2 de la Ley 39/2015 y el Real Decreto 1065/2015, de 27 de enero, sobre comunicaciones electrónicas en la administración de justicia en el ámbito territorial del Ministerio de Justicia y por el que se regula el sistema Lexnet. En su fundamento jurídico único confirma la corrección de los actos de comunicación remitidos de forma telemática y considera que la propia recurrente admite que de “la obligatoriedad en el uso de dichos medios en las relaciones con la administración de justicia, se llega a la conclusión de que lo dispuesto en el mismo es claro y ha sido respetado. Del propio documento núm. 1 aportado con el escrito interponiendo recurso de reposición y de las propias alegaciones vertidas por la recurrente, resulta la correcta recepción de la notificación en fecha 20 de junio de 2018, fecha en la que se materializó la `puesta a disposición´ de la notificación correctamente y del propio documento resulta que pasaron más de tres días desde la misma sin que se hubiera accedido al contenido hasta el día 27 de julio de 2018, por tanto, en aplicación estricta de lo dispuesto en el apartado segundo del art. 162 LEC, sin que se haya justificado por el recurrente una imposibilidad de acceder al sistema en este plazo. Por todo ello debe ser desestimado el recurso interpuesto, al ser el auto recurrido plenamente ajustado a derecho, al inadmitir un recurso que fue presentado fuera de plazo cuando ya había precluído la posibilidad de hacerlo”.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14 de noviembre de 2018, fueron notificados por el juzgado al procurador de la demandante de amparo a través del sistema Lexnet, tal como obra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Notificado así el auto de 30 de octubre de 2019, por la indicada mercantil se interpuso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y sin indefensión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objetando también que el juzgado haya hecho el cómputo del plazo para oponerse, desde la fecha del envío del correo a la dirección electrónica habilitada y no del acceso a la notificación, inadmitiendo así su escrito. Para la recurrente, el órgano judicial habría incumplido su obligación de asegurar, no ya la legalidad formal de los actos de comunicación, sino el cumplimiento efectivo de su finalidad constitucional. La demanda solicita por otrosí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Secretaría de Justicia de la Sección Tercera de este tribunal dictó diligencia de ordenación el 31 de enero de 2020, solicitando al juzgado a quo la remisión, a la mayor brevedad posible, de certificación o copia adverada de las actuaciones correspondientes al procedimiento de ejecución hipotecaria seguido en ese juzgado con el número 349-2018.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Una vez recibidas las actuaciones, la Sección Tercera de este tribunal dictó providencia el 15 de octubre de 2020 por la que acordó: (i) admitir a trámite el recurso, “apreciando que concurre en el mismo una especial trascendencia constitucional (art. 50.1 LOTC) el recurso puede dar ocasión al tribunal para aclarar o cambiar su doctrina como consecuencia de cambios normativos relevantes para la configuración del contenido del derecho fundamental [STC 155/2009, FJ 2 b)]”; (ii) constatar que el testimonio de las actuaciones ya había sido remitido a requerimiento de la Secretaría de Justicia de la Sección y emplazar a través del juzgado ejecutor a quienes hubieren sido parte en el procedimiento excepto a la parte recurrente en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27 de enero de 2021, la procuradora de los tribunales doña María Claudia Munteanu con la asistencia letrada de don Alejandro Ingram Solís, actuando en nombre y representación de la entidad Pera Assets Designated Activity Company, solicitó se tuviera a esta última como personada y parte recurrida en lugar de la ejecutante Banco de Sabadell, S.A., entendiéndose con dicha procuradora las actuaciones sucesivas de este proceso. Justificaba su petición en la escritura de cesión onerosa de créditos hipotecarios suscrita con Banco de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de Justicia de la Sección Tercera de este tribunal, de 5 de febrero de 2021 se acordó: (i) tener por personada y parte a la procuradora señora Munteanu en nombre y representación de la sociedad indicada y (ii) dar vista de las actuaciones recibidas a las partes personadas y al Ministerio Fiscal por plazo común de veinte días para presentar alegaciones de conformidad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como ha hecho con el resto de recursos que conforman esta serie, presentó escrito de alegaciones el 4 de marzo de 2021,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4 de Lorca, en el juicio de ejecución hipotecaria 349-2018”,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recurso “como uno de los que componen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del Pleno, de 27 de febrero, y de la STC 43/2020, de 9 de marzo,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10 de marzo de 2021, por el que interesó se dictara resolución estimatoria del recurso de amparo, haciendo mención a la STC 40/2020, del Pleno del Tribunal Constitucional que resuelve el recurso de amparo 5377-2018 promovido por la misma parte Euroinversiones Inmobiliarias Costa Sur, S.L., “en un asunto prácticamente igual al del presente recurso de amparo” que refuerza las exigencias para llevar a efecto el primer emplazamiento.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Respecto de la solicitud de suspensión formulada por la recurrente en amparo mediante otrosí de su escrito de demanda, por auto de la Sala Segunda de este tribunal núm. 3/2021, de 25 de enero de 2021,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14 de enero de 2021, dejando constancia de la presentación de los escritos de alegaciones del Ministerio Fiscal y del representante procesal de la recurrente en amparo,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fecha 6 de mayo de 2021,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los cuales,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4 de Lorca, de 30 de octubre de 2019 y de 14 de noviembre de 2018, recaídos en el proceso hipotecario núm. 349-2018.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sus vertientes de derecho a no padecer indefensión y a obtener una resolución fundada en Derecho, al no haberse efectuado aquel emplazamiento de manera personal y con entrega en papel de la documentación correspondiente, tal y como establecen las normas de la Ley de enjuiciamiento civil. Aduce otras dos quejas por lesión del derecho a un proceso con todas las garantías (art. 24.2 CE), en su faceta de defensa contradictoria; y el derecho a la asistencia letrada (art. 24.2 CE),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dictó, como afirma en trámite de alegaciones la recurrente en amparo y subraya el Ministerio Fiscal, la STC 40/2020, de 27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distinto a lo declarado entonces, procede por tanto que hagamos aplicación de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luego de despejar en el fundamento jurídico 2 cualquier posible óbice procesal por falta de agotamiento de la vía judicial previa al amparo [art. 44.1 a) LOTC], al no caber recurso contra el auto desestimatorio de la reposición y así indicarlo el pie de recurso de este, y no ser tampoco el amparo prematuro por interponerse sin esperar a la finalización del proceso ejecutivo hipotecario a quo, se aborda en el fundamento jurídico tercero el examen de la queja de fondo por lesión del art. 24.1 CE, derivada de la inadmisión del escrito de oposición a la ejecución, advirtiéndose que resulta de aplicación al caso la doctrina de este tribunal plasmada en sus SSTC 6/2019, de 17 de enero, FJ 4 a), dictada en sede de cuestión de inconstitucionalidad, y 47/2019, de 8 de abril, FJ 4 a), recaída en proceso de amparo, “en relación con la garantía de emplazamiento personal del demandado o ejecutado en los procesos regidos en esta materia por la Ley de enjuiciamiento civil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tercero,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entonces la STC 40/2020, en su fundamento jurídico cuarto,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en alegada conjunción con el plazo del art. 556 LEC. Todo lo cual determina la estimación del amparo por vulneración de su derecho fundamental a la tutela judicial efectiva sin padecer indefensión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30 de octubre de 2019 y de 14 de noviembre de 2018, dictados por el Juzgado de Primera Instancia e Instrucción núm. 4 de Lorca en el proceso de ejecución hipotecaria núm. 349-2018,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mayo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