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7512-2019, promovido por Euroinversiones Inmobiliarias Costa Sur, S.L., contra el auto del Juzgado de Primera Instancia e Instrucción núm. 4 de Lorca, de 19 de noviembre de 2018, que inadmitió la demanda de oposición a la ejecución formulada por dicha mercantil, en el procedimiento de ejecución hipotecaria núm. 363-2018 instado por la entidad Banco de Sabadell; y contra el auto del mismo juzgado, de 30 de octubre de 2019, que desestimó el recurso de reposición interpuesto contra la anterior resolución. Ha intervenido el Ministerio Fiscal. Se ha personado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diciembre de 2019, la procuradora de los tribunales doña Blanca Berriatua Horta, actuando en nombre y representación de Euroinversiones Inmobiliarias Costa Sur, S.L., bajo la defensa del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43.351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4 de Lorca, al que correspondió el conocimiento del proceso, dictó auto el 27 de junio de 2018 por el que acordó el despacho de ejecución (procedimiento de ejecución hipotecaria núm. 363-2018),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 de julio de 2018, el servicio de notificaciones electrónicas de la Fábrica Nacional de Moneda y Timbre remitió un correo al buzón de la dirección electrónica habilitada de la entidad aquí recurrente en amparo, avisándole de una notificación del Juzgado de Primera Instancia núm. 4 de Lorca relativa al proceso “EJH/0000363/2018”, notificación a la que podía acceder entre los días 3 de julio y 18 de agosto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 de agosto de 2018 por personal de la recurrente se accedió al enlace remitido por la dirección electrónica habilitada y, con ello, a la notificación enviada por el juzgado de primera instancia ejecutor en relación con el procedimiento hipotecario núm. 363-2018. También en esa fecha, la Fábrica Nacional de Moneda y Timbre emitió un certificado electrónico que obra en las actuaciones del proceso, dejando constancia de que la notificación había sido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31 de agosto de 2018, el representante procesal de la demandante de amparo formalizó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núm. 4 de Lorca proveyó a los dos escritos de oposición a la ejecución de las ejecutadas en una misma resolución, dictando auto el 19 de noviembre de 2018,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Euroinversiones Inmobiliarias Costa Sur, S.L., y Penrei Inversiones, S.L., representada por el procurador D. Antonio Serrano Caro por estar presentada fuera de plazo, contra Banco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de hecho segundo se había hecho constar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29-06-18 se notificó y requirió en legal forma a través de la sede judicial electrónica a ambas ejecutadas, y en fecha 31-08-18 se ha presentado por Euroinversiones Inmobiliarias Costa Sur, S.L., y Penrei Inversiones, S.L., oposición a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presentado por ambas entidades,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apelación, que se interpondrá ante el tribunal que haya dictado la resolución que se impugne dentro del plazo de veinte días contados desde el día siguiente de la notificación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Pese a la instrucción del medio impugnatorio indicado, tanto la aquí demandante Euroinversiones Inmobiliarias Costa Sur, S.L., como la entidad Penrei Inversiones, S.L., actuando bajo la misma representación procesal, interpusieron por separado recurso de reposición contra el anterior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que es el promovido por la primera de las entidades mencionadas, el recurso defendió que la notificación y requerimiento de pago habían tenido lugar cuando accedió al contenido de la notificación electrónica remitida y no antes, siendo desde entonces que cabía computar el plazo de diez días del art. 556 de la Ley de enjuiciamiento civil (LEC). Con invocación también de los arts. 135, 152.1.2.3, 155.2,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ejecutor dictó auto el 30 de octubre de 2019,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el recurso de reposición interpuesto por el/la procurador/a D./Dª. Antonio Serrano Caro, en representación de la mercantil ‘Euroinversiones Inmobiliarias Costa Sur, S.L.’, contra el auto de fecha 19 de noviembre de 2018, el cual se confirma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de hecho primero, se había hecho constar que: “En el presente proceso se ha interpuesto por el/la procurador/a D./Dª. Antonio Serrano Caro, en representación de la mercantil ‘Euroinversiones Inmobiliarias Costa Sur, S.L.’, recurso de reposición contra el auto de fecha 19 de noviembre de 2018, en el que se inadmitía la oposición a la ejecución formulada por dicha parte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fundaron dicha decisión se expusieron en el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ser desestimado el recurso de reposición interpuesto por ser el auto por recurrido conforme a la normativa procesal vigente en materia de oposición a la ejecución (artículos 556.1 LEC y concordantes) y de actos de comunicación. Así, pese a las alegaciones del recurrente que pretende mantener que el escrito de oposición fue presentado en plazo para ello por entender que el auto despachando la ejecución y el requerimiento efectuado debe entenderse notificado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citados como infringidos por la parte recurrente (arts. 135, 152, 162 y 273 y siguientes de la LEC) han sido perfectamente respetados en el presente procedimiento. La propia parte recurrente afirma estar obligada a utilizar los medios electrónicos en sus comunicaciones con el juzgado y afirma que la notificación se remitió a la dirección de correo electrónico ‘habilitada’ del titular a las que se refiere el art. 162 de la LEC, que tiene carácter de norma especial, destinada a regular los actos de comunicación por medios electrónicos o similares. No existiendo discusión ni duda acerca de la aplicabilidad de dicho precepto, al reconocer la propia recurrente la obligatoriedad en el uso de dichos medios en las relaciones con la administración de justicia, se llega a la conclusión de que lo dispuesto en el mismo es claro y ha sido respetado. Del propio documento núm. 1 aportado con el escrito interponiendo recurso de reposición y de las propias alegaciones vertidas por la recurrente, resulta la correcta recepción de la notificación en fecha 03/07/2018, fecha en la que se materializó la ‘puesta a disposición’ de la notificación correctamente y del propio documento resulta que pasaron más de tres días desde la misma sin que se hubiera accedido al contenido hasta el día 3 de agosto de 2018, por tanto, en aplicación estricta de lo dispuesto en el apartado segundo del art.162 de la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indicaba que contra dicha resolución “no cabe recurso alguno, sin perjuicio de reproducir la cuestión objeto de la reposición al recurrir, si fuera posible, la resolución definitiva (artículo 454 de la LEC)”. Tanto este auto como el anterior de 19 de noviembre de 2018, fueron notificados por el juzgado al procurador de la demandante de amparo a través del sistema Lexnet, tal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30 de octubre de 2019, por la aquí demandante de amparo, tras serle expedido certificación del mismo, se interpuso el presente recurso núm. 7512-2019.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el proceso,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30 de octubre de 2019 que desestimó el recurso de reposición promovido contra la anterior resolución —y del que se han expuesto sus argumentos—, se alega por la recurrente que el juzgado ha fundamentado su segunda decisión en una interpretación forzada y contradictoria de las normas procesales, al incluir indicaciones equívocas en el aviso de puesta a disposición, además de infringir las prescripciones sobre el primer emplazamiento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363-2018 seguido ante el Juzgado de Primera Instancia e Instrucción núm. 4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de este tribunal el 6 de octubre de 2020 la procuradora de los tribunales doña María Claudia Munteanu con la asistencia letrada de don Alejandro Ingram Solís, actuando en nombre y representación de la entidad Pera Assets Designated Activity Company, solicitó se tuviera a esta última como personada y parte recurrida en lugar de la ejecutante Banco Sabadell, S.A., entendiéndose con dicha procuradora las actuaciones sucesivas de este proceso. Justificaba su petición en la escritura de cesión onerosa de créditos hipotecarios suscrita con Banco Sabadell, S.A., como cedente, otorgada el 23 de julio de 2019, y en su efectiva personación en el proceso de ejecución donde fue acordado su emplazamiento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7 de octubre de 2020 se acordó no admitir dicha personación, por resultar esta inviable en la fase preliminar de 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la Sección Cuarta de este tribunal dictó providencia el 30 de noviembre de 2020 por la que acordó: (i) admitir a trámite el recurso, “apreciando que concurre en el mismo una especial trascendencia constitucional (art. 50.1 LOTC) porque el recurso plantea un problema o afecta a una faceta de un derecho fundamental sobre el que no hay doctrina de este tribunal [STC 155/2009, FJ 2 a)], o bien que el recurso puede dar ocasión al tribunal para aclarar o cambiar su doctrina como consecuencia de cambios normativos relevantes para la configuración del contenido del derecho fundamental [STC 155/2009, FJ 2 b)]”; (ii) constatada la recepción del testimonio de las actuaciones de instancia, emplazar a través del juzgado ejecutor a quienes hubieren sido parte en el procedimiento excepto a la parte recurrente en amparo;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25 de junio de 2021 la entidad Pera Assets Designated Activity Company comunica haber sido emplazada por el juzgado ejecutor y solicita su personación en el proceso de amparo con la misma representación y defensa designadas en escrito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diligencia de ordenación de la Secretaría de Justicia de la Sección Cuarta, de 6 de julio de 2021, se acordó: (i) tener por personada y parte a la procuradora señora Munteanu en nombre y representación de la sociedad indicada y (ii) dar vista de las actuaciones recibidas a las partes personadas y al Ministerio Fiscal por plazo común de veinte días para presentar alegaciones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escrito de alegaciones el 19 de julio de 2021, por el que interesó de este tribunal que dictara sentencia otorgando el amparo a la recurrente, con reconocimiento de la vulneración de su derecho a la tutela judicial efectiva sin indefensión (art. 24.1 CE), declarando la nulidad de “todo lo actuado desde la notificación efectuada electrónicamente del auto despachando ejecución acordado por el Juzgado de Primera Instancia e Instrucción núm. 4 de Lorca, en el juicio de ejecución hipotecaria 363-2018”, y retroacción de las actuaciones al momento inmediato anterior a aquella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Integra el fiscal el presente recurso “en la extensa serie de los interpuestos por Euroinversiones Inmobiliarias Costa Sur, S.L., y Penrei Inversiones, S.L., frente a diversos autos recaídos en otros tantos procedimientos hipotecarios tramitados por diferentes juzgados de primera instancia de Lorca (Murcia), con idéntico objeto y fundamento y la misma pretensión de amparo” y recuerda, con cita de la STC 40/2020, del Pleno, de 27 de febrero, y de la STC 43/2020, de 9 de marzo, que algunos ya han sido resueltos por lo que, al concurrir identidad fáctica y jurídica, procedería aplicar la doctrina sentada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3 de septiembre de 2021, por el que interesó se dictara resolución estimatoria del recurso de amparo, haciendo mención a la STC 40/2020, del Pleno del Tribunal Constitucional que resuelve el recurso de amparo 5377-2018, promovido por la misma parte Euroinversiones Inmobiliarias Costa Sur, S.L., “en asunto prácticamente igual al del presente recurso de amparo”, lo que refuerza las exigencias para llevar a efecto el primer emplazamiento tal y como prevé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consta presentado dentro del plazo del art. 52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solicitud de suspensión formulada por la recurrente en amparo mediante otrosí de su escrito de demanda, por auto de la Sala Segunda de este Tribunal núm. 2/2021, de 25 de enero,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Secretaría de Justicia se ha dictado diligencia el 16 de septiembre de 2021, dejando constancia de la presentación de los escritos de alegaciones del Ministerio Fiscal, del representante procesal de la recurrente en amparo y de su falta de presentación por la entidad personada,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21 de octubre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Euroinversiones Inmobiliarias Costa Sur, S.L., impugna los autos del Juzgado de Primera Instancia e Instrucción núm. 4 de Lorca, de 19 de noviembre de 2018 y de 30 de octubre de 2019, recaídos en el proceso hipotecario núm. 363-2018.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LEC.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recurrida no ha efectuado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como afirma en trámite de alegaciones la recurrente en amparo y subraya el Ministerio Fiscal,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(iii), dictada en sede de cuestión de inconstitucionalidad, y 47/2019, de 8 de abril, FJ 4 a), recaída en proceso de amparo,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vulneración de su derecho fundamental a la tutela judicial efectiva sin padecer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19 de noviembre de 2018 y de 30 de octubre de 2019, dictados por el Juzgado de Primera Instancia e Instrucción núm. 4 de Lorca en el proceso de ejecución hipotecaria núm. 363-2018,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