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13 de diciembre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695-2020, promovido por Euroinversiones Inmobiliarias Costa Sur, S.L., representada por la procuradora de los tribunales doña Blanca Berriatua Horta y bajo la dirección de la letrada doña Anju Nirmala Benavent Rodríguez, contra el auto del Juzgado de Primera Instancia e Instrucción núm. 4 de Lorca, de 15 de noviembre de 2018, que inadmitió la oposición a la ejecución formulada por dicha mercantil, en el procedimiento de ejecución hipotecaria núm. 369-2018, instado por la entidad Banco de Sabadell, S.A.; y contra el auto del mismo juzgado, de 12 de diciembre de 2019, que desestimó el recurso de reposición interpuesto contra la anterior resolución. Ha intervenido el Ministerio Fiscal. Ha sido parte la entidad Pera Assets Designated Activity Company, representada por la procuradora de los tribunales doña María Claudia Munteanu y asistida del letrado don Alejandro Ingram Solís, actuando como sucesora procesal del banco ejecutante.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febrero de 2020, la procuradora de los tribunales doña Blanca Berriatua Horta, actuando en nombre y representación de Euroinversiones Inmobiliarias Costa Sur, S.L., interpuso demanda de amparo contra las resoluciones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y Penrei Inversiones, S.L., en relación con la finca inscrita con el núm. 43 323 en el Registro de la Propiedad núm. 3 de Lorca. Reclamaba la cantidad de 180 193,46 € de principal del préstamo impagado, más intereses legales y costas, resultando la primera de las demandadas la deudora hipotecaria, y la segunda titular de un derecho de uso y disfrute sobre dicho inmueble, constituido con posterioridad al de aquella carga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4 de Lorca, al que correspondió el conocimiento de la causa, dictó auto el 21 de junio de 2018 por el que acordó el despacho de la ejecución (procedimiento de ejecución hipotecaria núm. 369-2018), ordenando a las ejecutadas efectuar el pago de las cantidades que se reclamaban.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26 de junio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e Instrucción núm. 4 de Lorca, relativa al proceso: EJH/0000369/2018; notificación que estaría disponible entre los días 26 de junio y 11 de agosto de 2018, a través de un enlace electrónico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de la recurrente en amparo accedió con fecha 1 de agosto de 2018 al enlace remitido a la dirección electrónica habilitada y, con ello, a la notificación enviada por el juzgado ejecutante en relación con el procedimiento hipotecario núm. 369-2018. Automáticamente, el servicio de notificaciones de la Fábrica Nacional de Moneda y Timbre emitió un certificado electrónico haciendo constar que la notificación había sido enviada el 26 de junio de 2018 y aceptada con fecha de 1 de agosto de 2018, a las 11:10:41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Euroinversiones Inmobiliarias Costa Sur, S.L., presentó con fecha 29 de agosto de 2018 escrito de oposición a la ejecución despachada. El Juzgado de Primera Instancia e Instrucción núm. 4 de Lorca dictó auto el 15 de noviembre de 2018, en cuya virtud inadmitió, por extemporánea, la oposición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sociedad mercantil recurrente interpuso recurso de reposición alegando, en síntesis, que las actuaciones de notificación y requerimiento no habían sido realizadas el día 26 de junio de 2018, sino en la fecha en que accedió a la web y procedió a su descarga, esto es, el 1 de agosto de 2018, y que la comunicación remitida a través de la dirección electrónica habilitada no podía entenderse nada más que como un aviso de puesta a disposición o descarga de su contenido durante un plazo determinado (en el caso, del 26 de junio al 1 de agosto de 2018) y entenderlo de otro modo, además de infringir los arts. 135, 152, 160, 162 de la Ley de enjuiciamiento civil (LEC), vulneraba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desestimado por auto de 12 de diciembre de 2019, señalando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 y añade que de los documentos que aporta la recurrente y de sus propias alegaciones “resulta la correcta recepción de la notificación en fecha 26/06/2018, fecha en la que se materializó la ‘puesta a disposición’ de la notificación correctamente y del propio documento resulta que pasaron más de tres días desde la misma sin que se hubiera accedido al contenido hasta el día 1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sociedad recurrente alega la vulneración del derecho a la tutela judicial efectiva sin indefensión (art. 24.1 CE), en su vertiente del respeto a un procedimiento con las debidas garantías, que no cause indefensión. La queja principal de la demanda de amparo se refiere a la falta de notificación personal de la demanda de ejecución hipotecaria, otorgándose efecto a la remisión de un correo electrónico que carece de los requisitos esenciales para considerarlo un acto de notificación procesal, habiéndose vedado a la recurrente de este modo la posibilidad de ejercitar su derecho de oposición en un proceso de ejecución hipotecaria. La cuestión planteada se cifra en determinar si un correo electrónico remitido por un servicio de notificaciones electrónicas es un acto de notificación procesal, que despliega los efectos propios de una notificación realizada con todas las garantías procesales o si no lo es, en cuyo caso habría que determinar si las decisiones adoptadas por el juzgador en la instancia son arbitrarias, irracionales o fruto de un error patente, y en consecuencia constituyen una vulneración del derecho a la tutela judicial efectiva, consagrado en el art. 24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por ello obligada a relacionarse con la administración de justicia a través de medios electrónicos, según dispone el art. 273 LEC, cuando se trata del primer emplazamiento y, por tanto,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prevé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recurrente afirma, por último,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tras invocar la doctrina establecida en la STC 47/2019, de 8 de abril, que reproduce en buena parte, solicita la estimación del amparo, instando del tribunal la declaración de nulidad de las resoluciones judiciales impugnadas, y que ordene reponer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el escrito de demanda solicitó la suspensión de la continuación del procedimiento de ejecución hipotecaria núm. 369-2018 seguido ante el Juzgado de Primera Instancia e Instrucción núm. 4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julio de 2020, la Sección Segunda de este Tribunal Constitucional acordó no admitir a trámite el recurso de amparo por no apreciar en el mismo la especial trascendencia constitucional que, como condición para su admisión, requiere el art. 50.1 b) de la Ley Orgánica del Tribunal Constitucional: LOTC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interpuso el 1 de septiembre de 2020 recurso de súplica ex art. 50.3 LOTC contra la providencia de 6 de julio de 2020, interesando que se dejara esta sin efecto, dictándose en su lugar otra admitiendo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recurso de súplica fue estimado por el ATC 128/2020, de 22 de octubre, que acordó admitir a trámite el recurso de amparo y, asimismo, formar la pieza separada para la tramitación del incidente de suspensión, concediendo plazo común de tres días a la parte recurrente y al Ministerio Fiscal para que aleguen lo que estimen oportuno (art. 56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Primera de este tribunal, de fecha 23 de octubre de 2020, se acordó oficiar al Juzgado de Primera Instancia e Instrucción núm. 4 de Lorca, para que en el plazo de diez días remitiera testimonio del procedimiento de ejecución hipotecaria núm. 369-2018, y que se emplazara a quienes hubieran sido parte en el procedimiento, excepto la parte recurrente en amparo, para que en el plazo de diez días pudieran comparecer en el recurso de amparo. También se acordó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presentadas sus alegaciones por la demandante de amparo con fecha 4 de noviembre de 2020, y por el Ministerio Fiscal el 10 de noviembre de 2020, la Sala, por ATC 166/2020, de 14 de diciembre, acordó denegar la suspensión cautelar solicitada, y ordenar la anotación preventiva de la demanda de amparo en el registro de la propiedad de conformidad con el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registro de este tribunal el 1 de febrero de 2021, la procuradora de los tribunales doña María Claudia Munteanu, en nombre y representación de la entidad Pera Assets Designated Activity Company, sucesora procesal del Banco de Sabadell, S.A., y asistida del letrado don Alejandro Ingram Solís, solicitó que se tuviera a la primera de las entidades citadas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Tras reiterar la secretaría de justicia de la Sala Primera de este tribunal la solicitud de actuaciones en diversas ocasiones, se recibieron finalmente en este Tribunal Constitucional el 22 de junio de 2021. Por diligencia de ordenación de 23 de junio de 2021 se acordó tener por personada y parte a la procuradora de los tribunales doña María Claudia Munteanu, en nombre y representación de la entidad Pera Assets Designated Activity Company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19 de julio de 2021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recorrido por la doctrina del Tribunal Constitucional sobre los actos de comunicación procesal con expresa referencia a las SSTC 6/2019, de 17 de enero; 32/2019, de 28 de febrero; 47/2019, de 8 de abril, y 40/2020, de 28 de febrero, de las que transcribe parte de su contenido. Para justificar la propuesta estimatoria, se remite a la doctrina fijada en las SSTC 40/2020, de 27 de febrero, y 43/2020, de 9 de marzo, que resuelven supuestos que presentan identidad fáctica y jurídica con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22 de julio de 2021 tuvo entrada en este tribunal el escrito de alegaciones de la entidad demandante de amparo. Como primera cuestión y a fin de evitar repeticiones innecesarias, se reiteró en lo ya expuesto en su escrito de interposición del recurso de amparo. No obstante, destaca la STC 40/2020, de 27 de febrero, del Pleno del Tribunal Constitucional, que resuelve el recurso de amparo núm. 5377-2018, promovido por Euroinversiones Inmobiliarias Costa Sur, S.L., en un asunto prácticamente igual al del presente recurso de amparo, en el que el tribunal sostiene que, tratándose del primer emplazamiento o citación al demandado, este ha de efectuarse en el domicilio del litigante, como impone el artículo 155.1 LEC, pues de lo contrario se estaría vulnerando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parte de la fundamentación jurídica de la indicada sentencia, solicita un pronunciamiento estimatorio,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ha formulado alegaciones la representación de Pera Assets Designated Activity Company.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diciembre de 2021,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contexto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autos de 15 de noviembre de 2018 y 12 de diciembre de 2019, dictados por el Juzgado de Primera Instancia e Instrucción núm. 4 de Lorca en el procedimiento de ejecución hipotecaria núm. 369-2018. El primero de ellos inadmitió por extemporánea la oposición a la ejecución hipotecaria formulada por la actora, mientras que el segundo confirmó la anterior decisión al desestimar el recurso de reposición interpuesto frente a ella. Para el órgano judicial, el plazo que la demandada tenía para formular oposición a la ejecución ya despachada ha de computarse desde la fecha en la que recibió en su dirección electrónica habilitada una comunicación del servicio de notificaciones electrónicas de la Fábrica Nacional de Moneda y Timbre avisándole de que hasta el 11 de agosto de 2018 tendría disponible una notificación del citado juzgado de Lorca relacionada con el procedimiento EHJ 369-2018 a la que, para que constase como leída, debía acceder a través de un enlace adjunto (http://notificaciones.060.es). La mercantil recurrente no accedió al enlace remitido hasta el 1 de agosto de 2018 y, por ser procesalmente inhábil el mes de agosto, presentó su escrito de oposición el día 29 de agosto, por lo que estima que lo hizo antes de que transcurriera 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notificación fue inadecuadamente realizada pues, al tratarse de la primera notificación, debió efectuarse de forma personal y no a través de la dirección electrónica habilitada, lo que le habría generado indefensión, y por tanto vulneración del art. 24.1 CE, al inadmitirse la oposición a la ejecución. Por su parte, el Ministerio Fiscal, con sustento en las razones que detalladamente se han expuesto en los antecedentes, solicita la estimación del recurso de amparo, al considerar que se ha vulnerado el derecho de la demandante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integra en la serie de recursos interpuestos por dos entidades, una de ellas la aquí recurrente, demandadas en procesos de ejecución hipotecaria seguidos ante diversos juzgados de primera instancia e instrucción de Lorca, los cuales, tras emplazarlas por vía electrónica a través del servicio de notificaciones electrónicas y de la dirección electrónica habilitada de la Fábrica Nacional de Moneda y Timbre, inadmitieron a trámite los escritos de oposición a la ejecución presentados por aquellas,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25 de febrero, ha tenido la oportunidad de resolver el recurso de amparo cabecera de esta serie, promovido contra dos autos de contenido coincidente en lo sustancial con los que ahora se impugnan, y donde dio respuesta a los mismos argumentos que defienden aquí las partes, con fallo estimatorio de la demanda. Descartada aquí la concurrencia de algún elemento distintivo que obligue a una fundamentación o resultado diferentes a lo declarado entonces, procede, por tanto, que hagamos aplicación de la citada STC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después de despejar en su fundamento jurídico 2 cualquier posible óbice procesal, se abordó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que resuelve una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hicimos en la STC 40/2020, FJ 4,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al emplazamiento de la actora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la demanda de amparo promovida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15 de noviembre de 2018 y 12 de diciembre de 2019, dictados por el Juzgado de Primera Instancia e Instrucción núm. 4 de Lorca en el proceso de ejecución hipotecaria núm. 369-2018,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lleve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