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515</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6 de noviembre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5104-2022, promovido por don Isaac Kwaku Addae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13 de julio de 2022, el procurador de los tribunales don Julio Alberto Rodríguez Orozco, en nombre y representación de don Isaac Kwaku Addae y bajo la dirección de la letrada doña María Isabel Herrero Sanz, formuló demanda de amparo contra la providencia de 1 de junio de 2022 dictada por la Sección Primera de la Sala de lo Contencioso-Administrativo del Tribunal Supremo, en recurso de casación núm. 7717-2021.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30 de junio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5104-2022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