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655</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11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7262-2022, promovido por don Pablo Iván Gutiérrez Ferrero,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noviembre de 2022, la procuradora de los tribunales doña Gloria María Calderón Duque, en nombre y representación de don Pablo Iván Gutiérrez Ferrero y bajo la dirección de la letrada doña María José Salgado Lanzós, formuló demanda de amparo contra la providencia de la Sala de lo Contencioso-Administrativo del Tribunal Supremo, en el recurso de casación núm. 6286-2021.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12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7262-2022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