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674</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18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4656-2022, promovido por don Naby Yaya Sylla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junio de 2022, la procuradora de los tribunales doña Elisa María Sainz de Baranda Riva, en nombre y representación de don Naby Yaya Sylla y bajo la dirección del letrado don Miguel Ángel Vizcaíno Galán, formuló demanda de amparo contra el auto de 15 de junio de 2022, dictado por la Sección Primera de la Sala de lo Contencioso-Administrativo del Tribunal Supremo en recurso de queja núm. 222-2021 contra sentencia de la Sala de lo Contencioso-Administrativo del Tribunal Superior de Justicia de Andalucía con sede en Granada, recurso de apelación núm. 2069-2019.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4656-2022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