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378-2022, promovido por don Otmane Grami, representado por la procuradora de los tribunales doña Pilar Rodríguez de la Fuente, asistido del letrado don Ángel Luis Fernández Bermejo, contra el auto núm. 37/2021, de 30 de septiembre, de la Sección Tercera de la Sala de lo Penal de la Audiencia Nacional y contra el auto núm. 87/2021, de 30 de noviembre, del Pleno de la Sala de lo Penal de la Audiencia Nacional.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enero de 2022, la representación procesal de don Otmane Grami interpuso recurso de amparo contra el auto núm. 37/2021, de 30 de septiembre, de la Sección Tercera de la Sala de lo Penal de la Audiencia Nacional, dictado en el rollo núm. 15-2021, dimanante del procedimiento de extradición pasiva núm. 12-2021 del Juzgado Central de Instrucción núm. 5, y contra el auto núm. 87/2021, de 30 de noviembre, del Pleno de la Sala de lo Penal de la Audiencia Nacional, dictado en el recurso de súplica núm. 79-2021, que confirmó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del rey ante el Juzgado de Primera Instancia de Safi (Marruecos) dictó el 26 de enero de 2021 orden internacional de búsqueda y captura contra el ahora demandante de amparo, al que atribuía su implicación en un delito de tráfico de sustancias estupefacientes, con los siguientes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diligencia referencial núm. 218 con fecha 08/02/2017 realizada por la policía judicial de Safi, por la que el llamado Aziz Abdelfattah fue detenido, este manifestó que se dedicaba a narcotráfico, que le pertenecía la cantidad de droga decomisada el día 06/02/2017, siendo el llamado Othmane Ould Chafii quien le había entregado dicha cantidad en cambio del importe de seis mil dirhams.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diligencia referencial núm. 273 con fecha 15/02/2018 realizada por la policía judicial de Safi por la que fue arrestado el llamado Marouane Ali hijo de Mohamed, y fueron intervenidos veinte kilos de drogas (cáñamo índico) y diez kilos de tabaco en su domicilio. El arrestado manifiesta que se dedica al narcotráfico, sobre todo la sustancia de ‘cáñamo índico’, que pone su domicilio a disposición del narcotraficante el Othmane Ould Chafii, para almacenar buenas cantidades de drogas y luego distribuirlas entre los pequeños vendedores en las provincias de Safi, Essaouira y El Jadida.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diligencia referencial núm. 875 con fecha 17/08/2020 realizada por la policía judicial de Safi por la que fue detenido el llamado Zakaria El Azhari, con seis paquetes de droga chira, cuyo peso es de diez gramos; manifestó que el apodado como ‘Ould Chafii’ fue quien le suministraba droga. Que es un narcotraficante activo en la localidad de Bounifel.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diligencia referencial núm. 992 con fecha 23/09/2020 realizada por la policía judicial de Safi por la que fue detenido el llamado Nasrallah El Bakri hijo de Abdelhamid, y fueron intervenidos cuarenta y cinco gramos de droga ‘chira’. El arrestado manifiesta que frecuentaba la zona Bounifel, y que dada su situación de desempleo empezó a dedicarse al tráfico de drogas en la referida zona, a favor de su tío materno apodado como ‘Ould Chafii’, cuyo nombre es Othmane Ikrami, agregando que este tiene un grupo de personas que trafican drogas en beneficio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 diligencia referencial núm. 4107 con fecha 17/02/2020 realizada por el cuerpo de policía judicial en la ciudad de Youssoufia, por la que fue detenido el llamado Abdelali Touires, quien manifestó que se encontraba con el llamado Othmane Ikrami, apodado como ‘Ould Chafii’ de quien compraba grandes cantidades de droga ‘chira’, cuyo peso total asciende a cincuenta kilos, así como bolsas de las espigas de cáñamo y tabaco contrabandeado que él traficaba”.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fue detenido en Arrecife (Lanzarote) el día 17 de marzo de 2021 y puesto a disposición del Juzgado Central de Instrucción núm. 5, que incoó el procedimiento de extradición pasiva núm. 12-2021, y acordó por auto de 19 de marzo de 2021, tras celebrar comparecencia del art. 505 LECrim,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marzo de 2021 se recibió por vía diplomática la nota verbal de la Embajada de Marruecos núm. 270, de 26 de febrero de 2021, en la que se solicitaba del Ministerio de Justicia de España la extradición del ahora recurrente en amparo, para el enjuiciamiento por delito de tráfico de drogas, lo que se acompañaba de la orden internacional de detención emitida por el fiscal, de un resumen de los hechos que reproducía los de la orden internacional de detención y una relación de los preceptos legales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Consejo de Ministros en sesión de 20 de abril de 2021 acordó, de conformidad con el art. 9.3 de la Ley 4/1985, de 21 de marzo, de extradición pasiva (en adelante, LEP), la continuación del procedimiento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reclamado fue oído en comparecencia del art. 12 LEP, celebrada el día 29 de abril de 2021 en el Juzgado Central de Instrucción núm. 5, oponiéndose a su extradición y manifestando que no renunciaba al principio de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Elevados los autos a la Sección Tercera de la Sala de lo Penal de la Audiencia Nacional, esta inició el rollo de extradición núm. 15-2021 y dio vista del mismo, en los términos del art. 13 LEP, al fiscal y a la defensa del reclamado, para que formularan alegaciones. El fiscal interesó que se accediera a la solicitud de extradición. La defensa se opuso a la misma, alegando que la documentación aportada por Marruecos era insuficiente para cumplir con el art. 12 a) del Convenio de extradición entre el Reino de España y el Reino de Marruecos, suscrito en Rabat el 24 de junio de 2009 (en adelante, convenio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Celebrada la vista extradicional el 30 de septiembre de 2021, en la que el fiscal reiteró su opinión en sentido favorable a la petición de extradición y la defensa la suya en contra, la Sección Tercera de la Sala de lo Penal de la Audiencia Nacional dictó el auto núm. 37/2021, de 30 de septiembre, por el que acordó acceder en fase jurisdiccional a la solicitud de extradición del actor por concurrir los presupuestos exigidos en el convenio bilateral y en la LEP, en particular los requisitos de doble incriminación y mínimo punitivo exigidos en el art. 2.1 del convenio bilateral, porque los hechos por los que se solicitaba la extradición eran constitutivos de delitos de tenencia y tráfico de estupefacientes, equivalentes en nuestro ordenamiento penal a los delitos contra la salud pública de sustancia que no perjudica gravemente a la salud de los arts. 368 y 369.1.5 del Código penal (en adelante,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cuenta con un voto particular discrepante, fundado en que la jurisprudencia constitucional exige la ponderación por una autoridad judicial de la necesidad y proporcionalidad de la privación de libertad inherente a la extradición, lo que no se ha producido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decisión el actor interpuso recurso de súplica, en el que alegó incumplimiento del requisito de aportación documental del art. 12 del convenio bilateral, porque la extradición se basaba en una orden internacional de detención expedida por el fiscal sin intervención alguna de autoridad judicial, por lo que no resultaba equiparable a una orden judicial de detención, ni a una sentencia condenatoria; invocaba en su apoyo la doctrina sentada en la STC 147/2020, de 19 de octubre, por estimarla aplicable al caso, así como la vulneración del derecho a la tutela judicial efectiva y a un proceso con todas las garantías del art. 24 CE en conexión con el derecho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la Sala de lo Penal de la Audiencia Nacional dictó el auto núm. 87/2021, de 30 de noviembre, por el que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expone las razones por las que considera que no es aplicable a este caso la STC 147/2020, de 19 de octubre, invocada en el recurso de súplica, ni la STC 147/2021, de 12 de julio. Afirma que la orden de detención emitida por el fiscal satisface los requisitos formales del art. 12.1 a) del Convenio bilateral de extradición, y según la información complementaria a la que se refiere el auto de 4 de junio de 2021, en el ordenamiento jurídico de aquel país el fiscal es uno de los componentes del poder judicial, tiene competencia para expedir órdenes internacionales de arresto y estas órdenes, una vez emitidas, no necesitan de ninguna legalización judicial, pues se consideran órdenes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existe disparidad de hecho y de derecho entre los supuestos de extradición enjuiciados por este tribunal en el caso de Colombia (STC 147/2020, de 19 de octubre) y Angola (STC 147/2021, de 12 de julio) y el caso ahora examinado de Marruecos. En el caso de Colombia se había producido la anulación de la orden judicial de detención que había emitido un juzgado, y el Tribunal Constitucional no consideró que un escrito de calificación del fiscal, leído ante un órgano jurisdiccional, surtiera un efecto semejante a aquella inicial orden de detención. En el de Angola, al no existir tratado de extradición, era aplicable el art. 7 LEP, y aun existiendo un documento que, conforme a la normativa del país requirente, era bastante para solicitar la extradición, “el Tribunal Constitucional, restringe nuevamente la autoridad emisora y elimina a cualquier otra que no sea el juez, bajo la sospecha de su falta de independencia”. La Sala concluye que, en el caso de Marruecos, conforme a su legislación interna, la fiscalía marroquí forma parte del poder judicial, puede solicitar la extradición, no estando previsto que la solicitud pueda ser revisada por un juez. En consecuencia, la orden emitida por el fiscal cumple las exigencias del art. 12 del convenio bilateral.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entiende también que los criterios expuestos por el Tribunal Constitucional con fundamento en la doctrina del Tribunal de Justicia de la Unión Europea,relativa a las autoridades emisoras y las condiciones necesarias que debe reunir la orden en el caso de que el emisor de la misma no sea un juez, no pueden ser exigidos fuera del ámbito de la Unión Europea; sin perjuicio, obviamente, del análisis que en la fase técnico-jurídica de la extradición, el tribunal encargado de llevarla a cabo deba ponderar los datos que las autoridades del país reclamante facilita en su documentación relativos a la claridad y precisión de los hechos punibles, a las evidencias que se aporten sobre su participación o al examen de la legislación del país reclamante en el caso de que deba entenderse que no es respetuosa con los derechos humanos del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el Pleno entiende que el fiscal del reino de Marruecos es autoridad competente en el Derecho interno para emitir la orden internacional de detención y para solicitar formalmente la extradición, dándose a la misma eficacia de cara a constituir título válido, conforme al tratado, para otorgar la extradición, y ello sin necesidad de que la misma venga a ser ratificada por el juez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va acompañado de un voto particular, firmado por tres magistrados, que consideran que la mayoría no ha aplicado correctamente la doctrina sentada en la STC 147/2020, en la que es esencial que se cumpla la garantía jurisdiccional de la libertad en el propio país solicitante de la extradición, mediante la homologación por un órgano judicial de la orden de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denuncia que se ha vulnerado su derecho a la tutela judicial efectiva sin indefensión (art. 24.1 CE) su derecho a un proceso con todas las garantías (art. 24.2 CE) y su derecho a la libertad personal (art. 17.3 CE), porque la orden de arresto de 26 de enero de 2021 emitida por el fiscal sustituto del rey de Marruecos carece de control judicial en origen. A su juicio, no se ha producido la necesaria concurrencia de una autoridad judicial, exigida en las SSTC 147/2020 y 147/2021, para garantizar la proporcionalidad de la solicitud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25 de enero de 2022, acordó admitir a trámite el recurso de amparo apreciando que concurre en el mismo una especial trascendencia constitucional [art. 50.1 de la Ley orgánica del Tribunal Constitucional (en adelante, LOTC)], porque el recurso puede dar ocasión al Tribunal para aclarar o cambiar su doctrina, como consecuencia de un proceso de reflexión interna [STC 155/2009, de 25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se acordó, en aplicación de lo dispuesto en el art. 51 LOTC, dirigir atenta comunicación al Pleno de la Sala de lo Penal de la Audiencia Nacional, a fin de que, en plazo que no excediera de diez días, remitiera certificación o fotocopia adverada de las actuaciones correspondientes al recurso de súplica núm. 79-2021. E igualmente a la Sala de lo Penal, Sección Tercera, de la Audiencia Nacional para que, en el mismo plazo, remitiera certificación o fotocopia adverada de las actuaciones correspondientes al rollo de extradición núm. 15-2021, dimanante del procedimiento de extradición pasiva núm. 12-2021 del Juzgado Central de Instrucción núm. 5, debiendo previamente emplazarse, para que en el plazo de diez días pudieran comparecer, si lo deseasen,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de la Sala de lo Penal de la Audiencia Nacional, el 15 de febrero de 2022 la Secretaría de Justicia de la Sala Segunda de este tribunal dictó diligencia de ordenación en la que tuvo por personado y parte en el procedimiento al abogado del Estado y acordaba dar vista de las mismas por un plazo común de veinte días a las partes personadas y al Ministerio Fiscal, para que presentasen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16 de marzo de 2022 el abogado del Estado formuló alegaciones en las que interesó la inadmisión del recurso de amparo en sentencia y, alternativamente, su desestimación. Subsidiariamente, para el caso de que este tribunal entienda que hay que entrar en el fondo del asunto,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el presente caso difiere de los analizados en las SSTC 147/2020, de 19 de octubre, y 147/2021, de 12 de julio, porque, en el ordenamiento jurídico marroquí, tanto los jueces de instrucción como el fiscal del rey ante el tribunal de apelación pueden emitir órdenes de detención, sin que en este último caso sea preciso que sean legalizadas por un juez. Además, según el art. 12 del Convenio bilateral, para solicitar la extradición basta con la presentación de una orden de detención expedida en la forma prescrita por la ley del Estado requirente. Por lo dicho, el abogado del Estado considera que estamos ante un problema de legalidad ordinaria en el que no se ven afectados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 de abril de 2022, el fiscal ante el Tribunal Constitucional presentó alegaciones en las que solicitó la estimación del recurso de amparo, que se declarase que las resoluciones judiciales impugnadas en el mismo vulneraron el derecho fundamental del recurrente a la tutela judicial efectiva (art. 24.1 CE), en conexión con el derecho a la libertad (art. 17 CE) con infracción de la doctrina del Tribunal Constitucional y que, en consecuencia, se declarase su nulidad. Subsidiariamente, solicita una aclaración o precisión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las vicisitudes del procedimiento, el fiscal encuadra la cuestión planteada en la falta de habilitación legal de la solicitud de extradición formulada por el Reino de Marruecos, en tanto se funda en una orden internacional de detención dictada por el fiscal del rey ante el Juzgado de Primera Instancia de Safi, sin que exista una resolución judicial que la corrobore, apartándose las resoluciones judiciales impugnadas de la doctrina constitucional establecida en las SSTC 147/2020, de 19 de octubre, y 147/2021, de 12 de julio, doctrina que sintetiza y de la que destaca, mediante extensa cita literal de los FFJJ 7 y 8 de la primera de ellas, el valor hermenéutico e integrador que el Tribunal Constitucional atribuye (art. 10.2 CE) a los pronunciamientos del Tribunal de Justicia de la Unión Europea relativos a la orden europea de detención y entrega (Decisión Marco 2002/584/JAI) para incorporar a la tutela judicial efectiva del derecho a la libertad y a la libertad de circulación, en los procedimientos de extradición pasiva, la exigencia de que en el país reclamante exista una ponderación judicial sobre la necesidad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en este caso, la solicitud de extradición por el fiscal del rey de Marruecos no reúne los requisitos establecidos por la doctrina constitucional citada, en cuanto la autoridad emisora —el fiscal del rey— está sometida a las posibles instrucciones de la autoridad jerárquica superior y no se prevé la inexcusable concurrencia de una autoridad judicial que controle la necesidad y proporcionalidad de la medida, al margen de que no se contempla la posibilidad de un recurso judicial antes de la entrega de la persona buscada por el Estado que debe efectuar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concluye aquí sus alegaciones, sino que con carácter subsidiario plantea la posibilidad de que el presente recurso de amparo sirva de oportunidad para que este tribunal aclare o cambie su doctrina, a cuyo efecto apunta que el recurso de amparo núm. 7490-2021, que plantea la misma cuestión, ha sido admitido a trámite mediante providencia de 1 de diciembre de 2021 de la Sección Primera de la Sala Primera de este tribunal, en virtud del supuesto de especial trascendencia constitucional enunciado en la letra b) del fundamento jurídico 2 de la STC 155/2009. Es decir, se trataría de aclarar o matizar, en su caso, la doctrina constitucional sobre extensión de las garantías del procedimiento de extradición pasiva, en particular la garantía jurisdiccional o de tutela judicial efectiva en el procedimiento de extradición en el momento de su emisión, con aplicación de la doctrina del Tribunal de Justicia de la Unión Europea dictada a propósito de la orden europea de detención y entrega, lo que equipara los procesos de extradición, tanto si son de los países de la Unión Europea como si provienen de países terceros, estableciendo un estándar de garantías más elevado a todos los supuestos de extradición, cualquiera que sea el convenio multilateral o bilateral suscrito entre España y terceros países reguladores de la extradición, perfilando la interpretación de la compatibilidad que se puede suscitar en la aplicación de los convenios suscritos con España y la aplicación del diferente estándar de garantías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 la Sala Segunda de este tribunal de 4 de abril de 2022 se hace constar que, habiéndose recibido los precedentes escritos de alegaciones del fiscal y del abogado del Estado, sin que la parte recurrente haya formulado alegaciones, queda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7 de marzo de 2024, se señaló para deliberación y votación de la presente sentencia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interesa la nulidad del auto núm. 37/2021, de 30 de septiembre, dictado por la Sección Tercera de la Sala de lo Penal de la Audiencia Nacional, que acordó haber lugar en fase judicial a la extradición del demandante a Marruecos al objeto de ser enjuiciado por hechos constitutivos de un delito de tráfico de sustancias estupefacientes, y del auto núm. 87/2021, de 30 de noviembre, dictado por el Pleno de la Sala de lo Penal de la Audiencia Nacional, que confirmó en súplica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aduce que las resoluciones judiciales impugnadas han vulnerado sus derechos a la tutela judicial efectiva (art. 24.1 CE), a un proceso con todas las garantías (art. 24.2 CE) y a la libertad personal (art. 17.3 CE), porque la orden de arresto de 26 de enero de 2021 emitida por el fiscal sustituto del rey de Marruecos careció del necesario control judicial en origen exigido en las SSTC 147/2020, de 19 de octubre, y 147/2021, de 12 de julio, para garantizar su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solicita la estimación del recurso e interesa la nulidad de las resoluciones judiciales impugnadas, si bien subsidiariamente propone que se module la doctrina constitucional sentada en la STC 147/2020 a la luz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interesa la inadmisión en sentencia de las quejas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del Tribunal Constitucional, por providencia de 25 de enero de 2022, admitió a trámite el presente recurso de amparo apreciando la concurrencia de especial trascendencia constitucional (art. 50.1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expresado en la reciente STC 17/2024, de 31 de enero, “[d]esde la STC 9/2015, de 2 de febrero, FJ 3, hemos establecido que ‘constituye una exigencia de certeza que este tribunal explicite el cumplimiento de este requisito, haciendo así recognoscibles los criterios de aplicación empleados al respecto por este tribunal [sentencia del Tribunal Europeo de Derechos Humanos (STEDH) de 20 de enero de 2015, asunto Arribas Antón c. España]’, lo que también aconseja evitar la dispersión de criterios en asuntos que presentan una acusada identidad de objeto. Declaramos por ello que, en la medida en que el presente recurso de amparo sitúa el fundamento impugnatorio en que las resoluciones de la Audiencia Nacional han vulnerado sus derechos fundamentales a la tutela judicial efectiva, a un proceso con todas las garantías, y a la libertad personal y de circulación (art. 24.1 y 2 CE, en conexión con los arts. 17 y 19 CE) por haber autorizado una solicitud de extradición remitida por el fiscal del rey ante el Tribunal de Apelación de Tánger carente de refrendo judicial, resulta especialmente idóneo para iniciar, si procede, un proceso de reflexión interna dirigido aclarar o cambiar la doctrina sentada en las SSTC 147/2020 y 147/2021, necesidad reforzada por la reiteración de asuntos de extradición pasiva, procedentes del mismo país y de otros, que inciden en la misma cuestión, por lo que declaramos que la especial trascendencia constitucional del presente recurso de amparo debe quedar igualmente encuadrada en el supuesto de la letra b)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dado que el supuesto planteado en este recurso es similar, si no casi idéntico, al que valoramos en la STC 17/2024, ha de concluirse que goza de la misma especial trascendencia constitucional que observamos entonces, debiendo ser objeto del mismo proceso de reflexión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establecida en la STC 17/2024, de 31 de enero, sobre la tutela judicial de la libertad en los procedimientos de extradición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17/2024, de 31 de enero, este tribunal ha aclarado que la doctrina fijada en las SSTC 147/2020 y 147/2021 sobre tutela judicial del derecho a la libertad en los procedimientos de extradición pasiva distingue dos tipos de garantía. En primer lugar, una garantía básica, consistente en que el órgano judicial al examinar la petición de extradición verifique la imparcialidad de la autoridad que la ha emitido, tratándose de una garantía inherente al deber de motivación reforzada de una decisión que ha de afectar necesariamente a la esfera de la libertad personal del reclamado. Y, en segundo término, una garantía específica, consistente en que la solicitud venga refrendada por una autoridad judicial desde el mismo país de origen, fundada en el art. 7.1 a) LEP, que es de directa aplicación en aquellos supuestos de ausencia de convenio extradicional con el Estado reclamante (STC 147/2021, FJ 4), pero que puede verse modulada en función de lo previsto en el convenio de extradición vigente entre las partes, al tratarse de una fuente normativa de aplicación preferente ex art. 1.1 LEP. Así debe afirmarse que, aun cuando sea una exigencia inherente a la tutela judicial efectiva del derecho a la libertad personal del extraditurus que nuestros tribunales verifiquen que la necesidad y proporcionalidad de la medida ha sido debidamente ponderada por un órgano judicial del país emisor, dicha intermediación judicial puede dispensarse excepcionalmente cuando concurran las siguientes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se trate de un procedimiento de extradición regido por un convenio bilateral o multilateral que admita la posibilidad de que la petición de entrega pueda emanar de una autoridad 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el país requirente suministre información suficientemente expresiva de que se trata de una autoridad que, conforme a su legislación interna, está facultada para emitir una solicitud de extradición en condiciones equivalentes a las de una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el contenido de la solicitud y de la documentación anexa proporcione a los órganos judiciales españoles la información necesaria para verificar que la misma resulta necesaria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libertad personal (art. 17 CE) y a la tutela judicial efectiva (art. 24 CE) es análoga a la que ya ha sido objeto de análisis por el Pleno de este tribunal en la STC 17/2024, en cuyos fundamentos jurídicos 3 y 4 se expusieron de manera pormenorizada las pautas de ponderación necesarias para determinar si en este tipo de supuestos se han vulnerado los citados derechos fundamentales y que han quedado reflejadas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en este caso, al igual que en la STC 17/2024, el Tribunal rechaza el planteamiento impugnatorio del demandante, pues el art. 12 a) del Convenio bilateral de extradición no exige el dictado de una resolución judicial como punto de partida de la solicitud de entrega, por lo que la documentación remitida en apoyo de la solicitud de extradición no queda fuera de la cobertura legal conformada por las fuentes aplicables. Por otra parte, se observa que la información complementaria remitida por el Estado requirente es suficientemente expresiva de la integración de la fiscalía en el órgano judicial, de sus condiciones de imparcialidad y del valor equivalente que la legislación del país otorga a las órdenes internacionales de arresto emitidas por el fiscal respecto de las emitidas por un juez de instrucción en el ámbito de su competencia, lo que excluye la necesidad de su validación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recordar que la misión de los tribunales españoles se ha de limitar a depurar aquellas solicitudes de extradición que presenten indicios de falta de proporcionalidad o de fundamento, mediante el examen en concreto de las alegaciones y documentos aportados por la persona reclamada, y de las razones y documentos aportados por las autoridades requirentes junto con la petición de extradición o de aquellos otros que el tribunal español pueda solicitar como complemento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 documentación remitida por las autoridades marroquíes por vía diplomática, que incluye la orden internacional de detención y la solicitud de extradición expedidas por el fiscal del rey, contiene una exposición circunstanciada tanto de los hechos imputados al demandante de amparo como de su calificación jurídica y de las diligencias de investigación practicadas bajo la dirección de la fiscalía marroquí, en cuyo resultado se funda dicha imputación, en términos que no permiten poner en duda la necesidad y proporcionalidad de su decisión de solicitar su entrega para asegurar su enjuiciamiento. Procede por ello declarar que las resoluciones judiciales impugnadas, al dar curso en vía jurisdiccional a dicha solicitud, no han vulnerado los derechos fundamentales sustantivos y procesales invocados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Ramón Sáez Valcárcel a la sentencia que resuelve el recurso de amparo núm. 378-2022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Expreso mi desacuerdo con la doctrina elaborada en la STC 17/2024, de 31 de enero, que aquí se aplica, al no haber podido intervenir en su elaboración por abstención (había participado en la resolución del recurso de súplica extradicional del que traía causa 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STC 17/2024 ha venido a desactivar en el procedimiento de extradición pasiva de carácter procesal o cautelar —con finalidad de persecución penal— la garantía jurisdiccional de la privación de libertad del reclamado en relación con las decisiones que soportaban la petición de entrega en el Estado requirente, que habían establecido las SSTC 147/2020 y 147/2021. Para este fin el análisis del caso, en aquel recurso y en el que nos ocupa, abandona la perspectiva constitucional de la tutela judicial efectiva y el derecho al proceso con todas las garantías en conexión con el derecho a la libertad personal (arts. 24.1 y 2 y 17 CE), para adentrarse en un análisis de legalidad ordinaria acerca de los requerimientos documentales del Convenio bilateral de extradición entre España y Marruecos.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doctrina que se ha dejado sin efecto afirmaba dos cosas: “que no hay garantía efectiva del derecho a la libertad sin una mediación judicial que controle la necesidad y proporcionalidad de la medida que le afecte” en la decisión que activó la extradición; y que cuando interviniera una autoridad pública no judicial, a la que la legislación del Estado requirente atribuyera participación en la administración de la justicia penal, como son las fiscalías, “demandará en todo caso la inexcusable concurrencia de una autoridad judicial incluso en aquellos casos en que sea incuestionable su independencia estructural del poder ejecutivo” (fundamento jurídico 3 de la STC 147/2021). Es decir, en la emisión de la extradición con fines procesales debería existir control judicial, único modo aceptable de entender que se ha respetado en el proceso penal de origen el canon del juicio de proporcionalidad para la restricción de la libertad personal del reclamado. Pues, la extradición es un procedimiento auxiliar del proceso penal que se sigue en el Estado requirente, sede en la que se acuerda la privación de libertad de la persona objeto de la reclamación. Y ello, al margen del marco regulador de la extradición, ya fuera un convenio bilateral o, en su ausencia, la Ley de extradición pasiva (4/1985, de 21 de marzo), criterio que en aquellas dos sentencias no jugaba papel alguno. Es una interpretación de la STC 147/2021 —también las sentencias son objeto de interpretación— la afirmación de que resultó relevante en la decisión la aplicabilidad de la Ley de extradición al no existir tratado con Angola, ley que exige la remisión del auto de procesamiento y prisión o de una resolución análoga. La argumentación de las dos sentencias que elaboraron la doctrina que ahora se abandona era de carácter constitucional y desde la perspectiva del encuadre que del objeto del recurso se había hecho en los derechos a la tutela judicial efectiva y al proceso con todas las garantías en relación con la libertad personal, de los art. 24.1 y 2 y 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STC 17/2024, que ahora se aplica para desestimar el recurso, considera que la “garantía específica, consistente en que la solicitud venga refrendada por una autoridad judicial desde el mismo país de origen”, que ya no considera fundada en el derecho a la tutela judicial efectiva y a un proceso con todas las garantías en relación con la libertad personal (arts. 24.1 y 2 y 17 CE) sino en la Ley de extradición pasiva, “puede verse modulada en función de lo previsto en el convenio de extradición vigente entre las partes”, de tal modo que la “intermediación judicial puede dispensarse excepcionalmente cuando concurran” tres requisitos, a saber, que el convenio admita la emisión de la solicitud de entrega por parte de una autoridad no judicial, que se acredite su competencia en el asunto y que la documentación proporcione al juez español la información suficiente para verificar que la misma resulta necesaria y proporcionada. Nada se dice acerca de cómo en el sistema continental de extradición —donde el juez de ejecución no puede enjuiciar la racionalidad y suficiencia indiciaria de la persecución penal que se sigue en el otro Estado— se puede acometer esa tarea de “verificación judicial” ni la documentación que debiera soportarla.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trata, a mi juicio, de una degradación de los requerimientos constitucionales del procedimiento de extradición pasiva. Lo pone de manifiesto que la doctrina de la que discrepo mencione la intervención del juez, la garantía jurisdiccional, como mero “refrendo judicial” o “mediación judicial”, reduciendo la capacidad incisiva y de control que conlleva a lo que parece un acto de mera adhesión o convalidación.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constitucionalización de la extradición en el art. 13 CE es un dato de especial trascendencia. Porque supone la transformación de la institución desde el paradigma del respeto a la soberanía en las relaciones entre Estados, la lucha contra la impunidad y la facilitación del ejercicio de la potestad punitiva, a la inserción de la extradición pasiva en el Estado de Derecho, con la consecuencia de someterla a los límites y vínculos que representan los derechos fundamentales, y con el reconocimiento de un estatuto jurídico de la persona reclamada, que goza plenamente de los derechos fundamentales y, entre ellos, de la garantía jurisdiccional de su libertad personal. De manera que la función del procedimiento de extradición pasiva ya no puede ser la de facilitar la entrega de una persona a otro Estado que le reclama para juzgarle o que cumpla condena, sino la protección y el amparo de los derechos fundamentales de la persona, derechos humanos que forman parte del orden público internacional y del principio de legalidad extradicional. Es más, el Estado requerido no puede eludir su responsabilidad por las vulneraciones previsibles de los derechos humanos del extraditado que tengan lugar en el Estado requirente con posterioridad a la entrega (STEDH de 7 de julio de 1989, asunto Soering c. Reino Unido, pár. 91, que ha propiciado la doctrina de la vulneración indirecta de los derechos fundamentales por la autoridad española que accediera a la entrega sin evaluar con el debido rigor los riesgos).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este contexto de respeto y protección de los derechos fundamentales del reclamado, la exigencia de jurisdiccionalidad de la decisión del Estado de emisión de actuar la potestad de solicitar la entrega de un persona que se halla en España para perseguirle penalmente es una garantía mínima de protección de la libertad personal, porque condiciona de manera radical la capacidad del juez de la extradición pasiva para ejercer su función de guardián de los derechos fundamentales del extraditando y examinar la necesidad y proporcionalidad de la privación de libertad que provoca su admisión.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distinguir la extradición procesal que nos ocupa, con fines de persecución penal o de enjuiciamiento, de la extradición ejecutiva que tiene por objeto el cumplimiento de una pena, pues en este supuesto no se plantea problema de control judicial. Porque la tramitación de la extradición pasiva conlleva la privación de libertad del reclamado —en uno u otro momento, a veces desde que se recibe preventivamente la orden policial de detención y durante meses—, sin que el Estado requerido pueda entrar a valorar en el sistema continental, al que responde nuestro modelo, si la persecución penal está suficientemente fundada, si está indiciariamente justificada, si persigue un fin legítimo, si es adecuada al mencionado fin, necesaria y estrictamente proporcionada y, por lo tanto, se puede descartar que sea una decisión arbitraria. El juicio cautelar o prima facie del juez de ejecución de la extradición pasiva tiene un ámbito muy limitado. De ahí que resulte imprescindible a efectos de otorgar legitimidad al proceso que se implante la garantía jurisdiccional en algún momento del planteamiento de la petición extradicional, ya sea al emitir la orden de detención internacional o en la formulación de la demanda de entrega, por la escasa capacidad de la intervención judicial en sede de ejecución que no puede remediar la ausencia de la garantía en la petición de cooperación. Aquí, de manera evidente, la jurisdiccionalidad de la decisión funciona como garantía de libertad y como prevención frente a persecuciones arbitrarias.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Buena demostración de la imposibilidad de llevar a cabo la tercera exigencia que establece la nueva doctrina (que la solicitud y la documentación proporcionen información suficiente para verificar que la misma resulta necesaria y proporcionada) a la vista de los requerimientos documentales de la extradición que —de manera homogénea establecen, en este punto, la ley y los convenios bilaterales— es que nuestras sentencias, en aquel recurso de amparo y en estos a los que se aplica, se limiten a afirmar apodícticamente que la orden de detención y la solicitud de extradición del fiscal del Estado de emisión contienen una exposición circunstanciada de los hechos imputados, de la calificación jurídica y de las diligencias de investigación “en términos que no permiten poner en duda la necesidad y proporcionalidad de su decisión”. Necesidad y proporcionalidad que no se suponen, sino que deben ser la conclusión del juicio que demandan. Además, sobre una decisión que implica la privación de libertad de la persona reclamada. No creo que un acta forense que ofrece sencillamente un relato de hechos y la tipificación de las conductas permita al juez de la extradición pasiva efectuar el control que requiere la garantía jurisdiccional, en esta sede, de la limitación del derecho a la libertad personal. La garantía jurisdiccional ha quedado desactivada, el juez no puede realizar un verdadero control de proporcionalidad de la privación de libertad del reclamado que proteja a la persona de decisiones arbitrarias (STEDH de 24 de marzo de 2015, asunto Gallardo Sánchez c. Italia, pár. 39).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Por último, solo dejar constancia en el plano de análisis de legalidad ordinaria en que se desenvuelve la sentencia de la que discrepo, que si cierto es que el art. 12 a) del Convenio bilateral de extradición no exige resolución judicial para la reclamación cautelar, puede entenderse que va de suyo porque la norma prevé en su art. 1 el compromiso de las partes de entregarse recíprocamente a las personas que se encuentren en su territorio y “sean procesadas por un delito”, requerimiento que reproduce en el art. 2.1 al establecer los principios del mínimo punitivo y de doble incriminación (“[s]erán objeto de extradición […] [l]as personas que sean procesadas por hechos que, según las legislaciones de los dos Estados, estén castigados con una pena privativa de libertad de dos años de duración como mínimo”). El tenor literal del texto identifica una institución, la del procesamiento, que en nuestro ordenamiento jurídico remite al intérprete a una resolución judicial que formaliza la imputación, no a la decisión de una autoridad no jurisdiccional. Por lo tanto, no se puede descartar que el convenio no obligue a la intervención del juez en algún momento de la emisión del pedido extradicional.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