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8554-2022, promovido por don A.J.S., contra el auto núm. 102/2022, de 28 de abril, dictado en el procedimiento de jurisdicción voluntaria núm. 168-2022 del Juzgado de Primera Instancia núm. 16 de Málaga, confirmado por el auto núm. 484/2022, de 1 de diciembre, recaído en el rollo de apelación civil núm. 1385-2022 de la Sección Sexta de la Audiencia Provincial de Málaga. Ha intervenido el Ministerio Fiscal y doña V.G.M., representada por el procurador don José Carlos Jiménez Segado y asistida por la abogada doña María Luisa González Peña.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diciembre de 2022 tuvo entrada en el registro general de este Tribunal Constitucional escrito de la procuradora de los tribunales, doña María José Ríos Padrón, en nombre y representación de don A.J.S., asistido del letrado don Alexis José Aneas Fernández, en el que formaliza demanda de amparo contra las resoluciones que constan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tal y como se deducen de la demanda y la documentación aportada,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amparo de lo previsto en el art. 156 del Código civil el procurador don José Carlos Jiménez Segado, en representación de doña V.G.M., promovió el 17 de enero de 2022 expediente de jurisdicción voluntaria por divergencia en el ejercicio de la patria potestad respecto del otro progenitor —don A.J.S., ahora demandante de amparo— acerca de la facultad de decidir unilateralmente la inoculación de la vacuna contra la covid-19 a sus hijas menores de edad, nacidas el 17 de diciembre de 2012 y el 30 de junio de 2014,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la solicitud por decreto de 24 de febrero de 2022, en el que se emplazó a la parte contraria, se incoó el expediente de jurisdicción voluntaria núm. 168-2022 en el Juzgado de Primera Instancia núm. 16 de Málaga. El juzgado acordó citar de comparecencia para el día 18 de abril de 2022 a las partes y al Ministerio Fiscal. Llegado el día señalado, asistieron al acto todas las partes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A.J.S. formuló oposición a la solicitud presentada por doña V.G.M. y alegó, en esencia, la ausencia de evidencia médica-científica que justificara la inoculación de los medicamentos de terapia génica para la covid-19 en menores de edad, atendiendo a la gravedad de la enfermedad en menores, donde la tasa de mortalidad y de hospitalización es muy baja, y a los efectos adversos que puede llevar aparejada la vacuna, que pueden ser muy superiores a la ausencia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celebración de la comparecencia, el juzgado dictó el auto núm. 102/2022, de 28 de abril, por el que estimó la pretensión de doña V.G.M. y le atribuyó la facultad de decidir sobre la inoculación de la vacuna a las hijas comunes menores de edad, sin necesidad de intervención del padre en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de forma sintética, la decisión judicial se fundamenta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recomendación sanitaria autorizada en España para esta vacunación a menores de edad se basa en criterios de salud a favor del menor receptor, con el mismo sostén científico y médico que se aplica al resto de vacunas dado su carácter preventivo; así se han pronunciado la Comisión de Salud Pública y la Asociación Española de Pediatría, y se ha comprobado la utilidad y efectos de la vacuna en el amplio rango de población ya vacunada, incluida la población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padre de las menores no ha ofrecido argumentos médicos referidos a las condiciones de aquellas que hicieran no recomendable vacunarlas, sino que se remite a argumentos generalistas sobre meras probabilidades de efectos secundarios.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menores han recibido todo el calendario vacunal con consentimiento de ambos progenitores, resultando de conocimiento común que todas las vacunas pueden tener efectos secundarios, pese a lo cual no existió impedimento para su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criterio de la madre es el que puede realmente permitir proteger el superior interés de las menores al no negarse a considerar la opción de vacunación, lo cual demuestra la correcta aplicación de un criterio de decisión fundado, que valora todas las posibilidades sin excluir a priori ninguna, criterio que será el finalmente determinante conforme a la recomendación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padre de las menores interpuso recurso de apelación contra la anterior resolución mediante escrito fechado el 26 de mayo de 2022, en el que alegó la vulneración del derecho a la tutela judicial efectiva (art. 24.1 CE), por déficit de motivación del auto impugnado, así como la infracción del art. 6.1 del Convenio de Oviedo de 4 de abril de 1997, para la protección de los derechos humanos y la dignidad del ser humano con respecto a las aplicaciones de la Biología y la Medicina (Convenio relativo a los derechos humanos y la biomedicina); los arts. 8 y 9.5 de la Ley 41/2002, de autonomía del paciente, por falta de consentimiento informado; los arts. 3.1 c) y h); 3.2; 4 y 5 del Real Decreto 1090/2015, de 4 de diciembre, por el que se regulan los ensayos clínicos con medicamentos, los comités de ética de la investigación con medicamentos y el registro español de estudios clínicos; y el art. 19.2 c) del Real Decreto Legislativo 1/2015, de 24 de julio, sobe la necesidad de prescripción médica. Asimismo, alegó "falta de jurisdicción" y la primacía del superior interés del menor respecto al interés social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recurso de apelación se opusieron doña V.G.M.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impugnación dio lugar al rollo de apelación civil núm. 1385-2022 de la Sección Sexta de la Audiencia Provincial de Málaga, que desestimó el recurso y confirmó la resolución impugnada mediante el auto núm. 484/2022,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las cuestiones procesales planteadas en el recurso de apelación, en lo que ahora interesa para la resolución de este recurso de amparo, la Sala centra el objeto de la controversia: no se trata de si las menores han de ser vacunadas o no contra la covid-19, sino decidir, ante la discrepancia surgida entre los progenitores en el ejercicio de la patria potestad, si procede o no atribuir a la madre en exclusiva su ejercicio. Dicho lo anterior, el auto confirma que ha de recaer en la madre la atribución en exclusiva de la decisión sobre la vacunación a las hijas, sobre la base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solución que se adopte no puede estar presidida por la búsqueda de una verdad material de tipo científico (bondad o no de la vacuna), principio que no rige en el proceso civil a la vista de las limitaciones que para el mismo suponen los principios de alegación de parte, rogación y dispositivo. Consecuentemente, la sala no entra en una polémica científica sobre las bondades o no de la vacuna frente a la covid-19 en menores de edad, pues es indiscutible que en el actual estado de conocimiento de los científicos y expertos en la materia, existen opiniones y criterios encontrados, muchos de aparente solvencia y otros no tanto, circunstancia esta que excluye un examen científico pormenorizado de la abundante documentación sobre la cuestión aportada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tratarse de una decisión que afecta a menores de edad, su interés ha de presidir los criterios para la resolución que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objeciones del padre se centran en que nos encontraríamos ante una vacuna basada en una técnica novedosa, cuyos riesgos no estarían debidamente estudiados a medio-largo plazo y que podrían ocasionar efectos secundarios indeseados a las menores, alegación que se basa en argumentos de carácter generalista relativos a tales posibles efectos —precisa la sala que todas las vacunas los tienen y las menores, según han reconocido los padres, han cumplido todo el calendario vacunal con el consentimiento de ambos, quienes son conscientes de que cualquier vacuna puede tener efectos secundarios—, y si bien es cierto que se está ante una vacuna novedosa, basada en una técnica pionera y desarrollada en tiempo récord, esto no la convierte en un tratamiento inseguro o peligroso para la salud, porque la vacuna ha sido aprobada por la Agencia Europea del Medicamento, y la cuestión es eminentemente técnica, en la que frente a interpretaciones subjetivas y parciales efectuadas por profanos en la materia, debe otorgarse prevalencia a las conclusiones que han alcanzado la mayoría de los expertos y especialistas tras el análisis objetivo de los datos clínicos que han arrojado los ensayos y experimentos realizados, siendo que la recomendación sanitaria autorizada en España para la vacunación de menores de edad se basa en criterios de salud, con el mismo sostén científico que se aplica al resto de vacunas, todas de carácter preventivo, y en tal sentido se han pronunciado la Comisión de Salud Pública y la Asociación Española de Pediatría.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Frente a la ausencia de riesgo relevante en la administración de la vacuna, la sala analiza los riesgos que para el paciente pudieran derivarse en caso de no serle dispensada. A este respecto, señala que la realidad cotidiana muestra la alta transmisibilidad del virus y la gravedad en muchos casos de las consecuencias de padecerlo. Es un hecho notorio que la vacuna en cuestión para los menores de entre cinco y doce años ha sido aprobada por la Agencia Europea del Medicamento y por la Agencia Española del Medicamento y Productos Sanitarios; la OMS (Organización Mundial de la Salud) reconoce que la vacuna de Pfizer puede administrarse con seguridad a niños a partir de los cinco años; el Ministerio de Sanidad de España refiere que actualmente se dispone de una vacuna autorizada para administrar a este grupo de población entre cinco y doce años (Comirnaty 10 μg/dosis, Pfizer-BioNTech); y el principal estudio que ha permitido autorizar el uso de esta vacuna en menores muestra que la administración de dos dosis es segura y eficaz en el indicado grupo de edad. Siendo cierto que la citada vacuna Comirnaty 10 μg/dosis está contraindicada en personas con antecedentes de reacciones alérgicas graves a una dosis previa de la propia vacuna o a algún componente de la misma, igualmente lo es que el padre de las menores manifestó que estas habían recibido la pauta de vacunación completa, aun siendo conscientes los padres de que cualquier vacuna puede tener efectos secundarios. Por último, la sala declara que las menores están sanas y no padecen de algún tipo de alergia, sin que se haya aportado ningún informe médico que desaconseje su vacunación frente a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la demanda de amparo alega, en esencia, que las resoluciones judiciales impugnadas vulneran los derechos fundamentales a la tutela judicial efectiva (art. 24 CE) en relación con el principio de la seguridad jurídica (art. 9.3 CE), así como los derechos fundamentales a la integridad física y moral (art. 15 CE) y a la igualdad y no discriminación (art. 14 CE), al atribuir unilateralmente a uno de los progenitores, mediante resolución judicial dictada en procedimiento de jurisdicción voluntaria, la facultad de inocular a las hijas menores de edad “las denominadas vacunas contra la covid-19 —en su estatus actual—, esto es, como medicamento bajo distintivo triángulo negro, bajo autorización condicional y seguimiento adicional, y que, para confirmar la eficacia y seguridad el fabricante deberá enviar el informe del estudio clínico final para el estudio aleatorizado, controlado con placebo y con enmascaramiento en diciembre de 2023 (plazo ampliado cinco años más por los graves casos de pericarditis y miocarditis)”.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sostiene el recurrente, el derecho a la igualdad exige de los poderes públicos un deber de abstención para no generar diferencias arbitrarias como la que se ha producido en este caso, donde la diferencia de trato ni está justificada ni es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menores han pasado la covid-19 por lo que ya poseen inmunidad natural que, como ha quedado acreditado es más perdurable y efectiva que la protección producida por las vacunas contra la covid-19 que solo producen una reacción inmunitaria contra la proteína ‘S’, justo aquella propensa a la mutación, causante de la fuga vacunal y la ineficacia de estas vacunas para frenar los contagios como quedó evidenciado ante la variante ómicron”.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insiste, no hay evidencias científicas que acrediten la bondad de la vacuna ni el beneficio individual para las menores, lo que supone que se ha vulnerado el interés superior del menor, pues los estudios científicos demuestran que el riesgo para su salud derivado de la ausencia de vacuna es inferior al riesgo de contraer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hubo ausencia de consentimiento informado y que el interés superior del menor no debe menoscabarse a favor de un tercero, ya que en tal caso quedaría subordinado al supuesto interés de un tercero, además, adulto.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quedado acreditado, a su juicio, que las vacunas contra la covid-19 no proporcionan inmunidad total, como reconoce la propia ficha técnica del medicamento, dado que no contiene SARS-CoV-2 atenuado, sino que provoca la producción endógena de la proteína S (una fracción minúscula del virus) en los inoculados, con el fin de generar anticuerpos contra esta proteína, por lo que no impide infectarse de SARS-CoV-2 y ser fuente de contagio en condiciones semejantes a la población no vacunada. Asimismo, no cabe invocar el interés social, pues ha quedado acreditado que las vacunas contra la covid-19 no impiden el contagio y la transmisión de las nuevas variantes (delta u ómicron, que muestran mutaciones en la proteína S) en los inoculados, y que Pfizer ha admitido a la FDA (Administración de Alimentos y Medicamentos del gobierno de Estados Unidos) las limitaciones del estudio de seguridad de la vacuna para menores de edad, dado que no evaluó los riesgos asociados al corazón (miocarditis, pericarditis, etc.), genotoxicidad ni carcinogenicidad.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Desarrolla la queja por vulneración del derecho a la tutela judicial efectiva (art. 24 CE) y alega que los tribunales ordinarios han valorado las pruebas de manera errónea, en particular, los informes científicos de que disponían. Las resoluciones judiciales combatidas incurren por ello en motivación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la nulidad de los autos recurridos y que se declare que no había lugar al procedimiento de jurisdicción voluntaria para la inoculación de la vacuna contra la covid-19, pues en este caso las menores están sanas y no se advierte ningún beneficio directo para su salud, y las resoluciones judiciales orillan el verdadero debate sobre la controversia entre los riesgos y los beneficios de la vacuna. Antes al contrario, abunda el demandante de amparo, todos los datos médicos y científicos contradicen los razonamientos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este tribunal de 24 de enero de 2023, se puso en conocimiento del Ministerio Fiscal y de las partes, a los efectos oportunos, que, en virtud del acuerdo adoptado por el Pleno del Tribunal Constitucional el día 17 de enero de 2023, publicado en el “Boletín Oficial del Estado” de 19 de enero, el presente recurso de amparo había sido turnado a la Sección Primera de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del Tribunal Constitucional, por providencia de 3 de julio de 2023,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Audiencia Provincial de Málaga (Sección Sexta) a fin de que, en plazo no superior a diez días, remitiera certificación o fotocopia adverada de las actuaciones correspondientes al recurso de apelación 1385-2023, e, igualmente, al Juzgado de Primera Instancia núm. 16 de Málaga a fin de que, en plazo que no excediera de diez días, remitiera certificación o fotocopia adverada de las actuaciones correspondientes al procedimiento de jurisdicción voluntaria núm. 168-2022,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 de julio de 2023, se acordó, asimismo, a solicitud de la parte actora, la formación de la pieza separada de suspensión, con inicio de su tramitación de conformidad con lo prevenido en el art. 56 LOTC, que una vez finalizada concluyó mediante ATC 15/2024, de fecha 13 de febrero, que denegó la suspensión cautelar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diciembre de 2023 se registró escrito en el Tribunal Constitucional firmado por la representación procesal de doña V.G.M. en el que expresó su voluntad de personarse en este proceso y se opuso al recurso de amparo, antes del trámite de alegaciones previsto en el art. 52 LOTC. Alegó entonces que en ningún caso procede la estimación del recurso de amparo, dado que ninguna vulneración de rango constitucional se ha producido. En concreto, sostuvo que el derecho a la tutela judicial efectiva se satisface con una resolución fundada en Derecho que aparezca suficientemente motivada, para añadir que el hoy solicitante de amparo no ha explicado en absoluto en su recurso dónde se localiza la concreta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vulneraciones alegadas de contrario de los arts. 14 y 15 CE, insistió en que la demanda de amparo contenía alegaciones genéricas, retóricas y vacías de contenido. A su juicio, las resoluciones judiciales ahora combatidas eran respetuosas con el principio de equidad y habían tenido presente el interés superior de las menores, “ya que la recomendación sanitaria autorizada en nuestro país para la vacunación de menores de edad se basa en criterios de salud con el mismo sostén científico y médico que se aplica al resto de vacunas dado su carácter preventivo, habiéndose pronunciado en este sentido la Comisión de Salud Pública y la Sociedad Española de Pediatría”. Por otra parte, las resoluciones judiciales tienen en cuenta que las hijas menores han seguido el calendario de vacunas con el consentimiento de ambos progenitores, “y no hubo ningún impedimento para administrarla a las menores, por tanto el criterio de la madre (favorable a la vacuna) es el que realmente puede permitir proteger el superior interés de las hijas pues no se niega a considerar la opción de vacunación de las menores, lo que viene a acreditar el acierto de las resoluciones judiciales que se consideraran perjudiciales por la parte recurrente, ya que valora para las niñas todas las posibilidades sin excluir ninguna”.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añadió que las resoluciones de los órganos judiciales son respetuosas y compatibles con la doctrina sentada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 subsanación de defecto de postulación, por diligencia de ordenación de 18 de diciembre de 2023 se tuvo al procurador don José Carlos Jiménez Segado por personado y parte en este proceso en nombre y representación de doña V.G.M.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Sala Primera de este tribunal de 21 de diciembre de 2023, se tuvieron por recibidos los testimonios de las actuaciones que habían sido remitidos por la Sección Sexta de la Audiencia Provincial de Málaga y por el Juzgado de Primera Instancia núm. 16 de Málaga y, a tenor de lo dispuesto en el art. 52 LOTC, se acordó dar vista de las mismas, por un plazo común de veinte días, al Ministerio Fiscal y a las partes personadas, para que dentro de ese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18 de enero de 2023, la fiscal ante el Tribunal Constitucional solicitó la desestimación íntegra del recurso. Tras referirse a las vulneraciones alegadas en la demanda de amparo, aprecia que si bien se alega la vulneración de los derechos a la igualdad (art. 14 CE), a la integridad física (art. 15 CE) y a la tutela judicial efectiva (art. 24.1 CE), respecto del primero ninguna argumentación jurídica se contiene en el recurso, por lo que se trata de una mera invocación genérica que, al no tener el más mínimo desarrollo argumental ni articulación suficiente, impide un examen de la vulneración alegada. A mayor abundamiento, añade la fiscal, esta concreta vulneración no se denunció en el recurso de apelación, lo que la convierte en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sostiene el Ministerio Público que el núcleo central de la pretensión del demandante de amparo es la queja sobre la vulneración del derecho a la integridad física y moral del art. 15 CE, por lo que la lesión planteada bajo la cobertura del art. 24.1 CE debe ser considerada como meramente instrumental de la anterior, lo que circunscribe el análisis de la fiscal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fundamental a la integridad física y moral del art. 15 CE, defiende el Ministerio Público que resultan de aplicación al caso los razonamientos contenidos en los fundamentos jurídicos 4 y 5 de la STC 148/2023, sobre vacunación de menores y la imposibilidad de que estos puedan prestar un consentimiento informado, lo que a su juicio descartaría la existencia de vulneración, precisamente porque se cumple el presupuesto básico que el art. 9.3 c) de la Ley 41/2002 establece para que pueda acudirse al consentimiento por representación: “las menores, de siete y nueve años de edad, carecían de la capacidad emocional e intelectual necesarias para comprender el alcance de la intervención y los padres contaban con la información adecuada para la prestación del consentimiento desde un momento anterior incluso a la iniciación del procedimiento de jurisdicción voluntaria, por lo que no cabe apreciar la ausencia de consentimiento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aduce que la motivación de las resoluciones judiciales tuvo como fundamento esencial la protección del interés superior de las menores en relación con su salud, en atención a las recomendaciones de las autoridades sanitarias que se mostraban a favor de la vacunación de menores haciendo una ponderación de riesgos y beneficios de la vacuna, “que el órgano judicial no estima desvirtuadas por los informes aportados por el recurrente, sin que se haya acreditado tampoco contraindicación alguna para la vacunación de sus hijas”.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representaciones procesales de las otras partes no presentaron escrito de alegaciones en el sentido requerido, lo que se hizo constar en diligencia de 13 de febrero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abril de 2024 se señaló para deliberación y votación de la presente sentencia el día 9 de abril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núm. 102/2022, de 28 de abril, dictado en el procedimiento de jurisdicción voluntaria núm. 168-2022 del Juzgado de Primera Instancia núm. 16 de Málaga, que atribuyó a doña V.G.M. la facultad de decidir sobre la administración de la vacuna frente a la covid-19 a sus hijas menores de edad, y contra el auto núm. 484/2022, de 1 de diciembre, recaído en el rollo de apelación civil núm. 1385-2022 de la Sección Sexta de la Audiencia Provincial de Málaga,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las personas menores de edad afectadas ni la de sus parientes inmediatos que aparecen mencionados en las actuaciones, con el fin de proteger la intimidad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rechazarse la alegación de inadecuación del procedimiento de jurisdicción voluntaria por los motivos indicados en la STC 148/2023, de 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recurso de amparo se alega la vulneración del derecho a la tutela judicial efectiva (art. 24.1 CE) porque las resoluciones judiciales no se ajustan al derecho positivo al conculcar los principios sobre valoración de la prueba, motivación y derecho de defensa, y residenciar su decisión en la recomendación de las autoridades sanitarias sin valorar los informes científicos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invoca también la vulneración del derecho a la integridad física y moral (art. 15 CE) por falta de consentimiento informado. Todas estas vulneraciones se imputan a la decisión judicial que atribuye la facultad de decidir al progenitor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estas cuestiones directamente vinculadas pueden reconducirse a la posible lesión del derecho fundamental a la integridad personal (art. 15 CE), de modo que las distintas quejas planteadas bajo la cobertura del art. 24.1 CE recibirán una respuesta conjunta en el fundamento jurídico siguiente, puesto que deben calificarse como instrumentales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la vulneración del derecho a la igualdad (art. 14 CE), el recurrente no llega a presentar un término de comparación válido, en los términos exigidos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En la misma sentencia se cita la STC 154/2002, de 18 de julio, FJ 10, en la que ya precisamos que: (i) el reconocimiento excepcional de la capacidad del menor respecto de determinados actos jurídicos, como son los que afectan a su integridad física, no es de suyo suficiente para, por vía de equiparación reconocer en todo caso eficacia jurídica a los actos —o decisiones— del menor; (ii) la exclusión de la representación legal en tales casos debe entenderse siempre sin perjuicio del deber de los progenitores de velar y cuidar del menor y salvaguardar su interés superior, obligaciones que no desaparecen por el hecho de que se reconozca a la persona menor cierto grado de autodeterminación; y (iii) la validez y eficacia de las decisiones adoptadas por una persona menor de edad en ejercicio de su derecho a la integridad física habrán de determinarse teniendo siempre en cuenta la prevalencia de su interés superior, que ha de ser siempre tutelado por los padres y, en su caso, por los órganos judiciales, poniendo dicho interés en relación con los efectos previsibles de tales decisiones y su eventual permanencia o irreparabilidad.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capacidad general de autodeterminación de las personas que todavía no hayan alcanzado la mayoría de edad en relación con las actuaciones médicas que les afectan encuentra su límite en la protección de su interés superior, que se impone como obligación a los progenitores, en cuanto titulares de la patria potestad o autoridad familiar y a todos los poderes públicos, incluida la autoridad judicial. A todos ellos corresponde garantizar que la decisión final relativa a la actuación médica en cuestión no trae consigo una quiebra relevante, persistente y/o irreparable de dicho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c) de la Ley 41/2002 establece para que pueda acudirse al consentimiento por representación —otorgado por los progenitores de común acuerdo o por la autoridad judicial en caso de desacuerdo— porque las menores carecían de la capacidad emocional e intelectual necesarias para comprender el alcance de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las menores en relación con la protección de su salud, teniendo en cuenta la recomendación de las autoridades sanitarias, que se mostraban a favor de la vacunación de menores haciendo una ponderación de riesgos y beneficios de la vacuna, que los órganos judiciales no estimaron desvirtuada por los informes aportados por el ahora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A.J.S.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