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7 de abril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don Juan Carlos Campo Moreno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7610-2024, promovido por doña Andreia Daniela da Graca Pereira, representada por la procuradora de los tribunales doña María Esperanza Azpeitia Calvín y asistida por el letrado don Oskar Urretxo Fernández de Betoño, frente a las resoluciones del Instituto Nacional de la Seguridad Social de 23 de diciembre de 2020 y de 2 de junio de 2021 que desestimaron la petición y reclamación previa dirigidas a la revisión y ampliación de la prestación por nacimiento y cuidado de hijo; contra la sentencia núm. 1278/2023, de 23 de mayo, de la Sala de lo Social del Tribunal Superior de Justicia del País Vasco, que estimó el recurso de suplicación núm. 2469-2022 interpuesto por el Instituto Nacional de la Seguridad Social frente a la sentencia núm. 185/2022, de 29 de julio, del Juzgado de lo Social núm. 2 de Vitoria-Gasteiz dictada en los autos núm. 593-2021; y contra el auto de 18 de septiembre de 2024, de la Sala de lo Social del Tribunal Supremo, que inadmitió el recurso de casación para la unificación de doctrina núm. 4059-2023. Han intervenido la letrada de la administración de la Seguridad Social y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10 de octubre de 2024, la procuradora de los tribunales doña María Esperanza Azpeitia Calvín, actuando en nombre y representación de doña Andreia Daniela da Graca Pereira y bajo la dirección letrada de don Oskar Urretxo Fernández de Betoño, interpuso recurso de amparo frente a las resoluciones administrativas y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madre biológica de una menor nacida el día 18 de noviembre de 2020, con la que forma una familia monoparental, solicitó ante la Dirección Provincial de la Seguridad Social de Álava la prestación por nacimiento y cuidado de menor, que le fue reconocida por resolución del Instituto Nacional de la Seguridad Social (INSS) de 23 de diciembre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26 de enero de 2021 presentó escrito de reclamación previa en el que solicitó el permiso de paternidad, al tratarse de una familia monoparental. Por resolución de 2 de junio de 2021 del INSS fue desestimada su pretensión, al no preverse legalmente la ampliación de la prestación en supuestos de familias monoparentales y ser el derecho en cuestión personal e intransferible.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la duración de la prestación reconocida, la ahora recurrente presentó demanda frente al INSS y la Tesorería General de la Seguridad Social (TGSS), en reclamación inicialmente de ocho semanas adicionales, ampliadas a doce semanas en el acto del juicio. La demanda dio lugar a los autos núm. 593-2021, seguidos ante el Juzgado de lo Social núm. 2 de Vitoria-Gasteiz, que la estimó en la sentencia núm. 185/2022, de 29 de julio, que reconoció a la actora el derecho a disfrutar de ocho semanas adicionales de prestación por nacimiento y cuidado de su hija, de conformidad con lo dispuesto en la disposición transitoria decimotercera de la Ley del Estatuto de los Trabajadores, aplicable al caso teniendo en cuenta la fecha del nacimiento de su hija.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 referida sentencia el INSS y la TGSS interpusieron recurso de suplicación registrado con el núm. 2469-2022, que fue impugnado de contrario por la actora. El recurso fue estimado por medio de la sentencia núm. 1278/2023, de 23 de mayo, dictada por la Sala de lo Social del Tribunal Superior de Justicia del País Vasco, en aplicación de lo resuelto por la sentencia de la Sala de lo Social del Tribunal Supremo de 2 de marzo de 2023, dictada en el recurso de casación para la unificación de doctrina núm. 3972-2020 (ECLI:ES:TS:2023:783), que desestimó la pretensión ampliatoria de la prestación teniendo en cuenta: (i) la falta de previsión legal de la extensión en casos de existencia de un único progenitor; (ii) las múltiples formas que podía adoptar la familia monoparental, que podía estar constituida no solo por madres biológicas, sino también por viudas, separadas, divorciadas y adoptantes; y (iii) la inviabilidad de imponer a la parte empleadora las consecuencias de la extensión o ampliación de la prestación de forma duplicada por la circunstancia, ajena a la empresa, de que la trabajadora constituyese una familia monoparental.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anterior sentencia, la parte actora interpuso recurso de casación para la unificación de doctrina, registrado con el núm. 4059-2023, que fue inadmitido por la Sala de lo Social del Tribunal Supremo ante la falta de contenido casacional del recurso, dado que la sentencia recurrida se basaba, precisamente, en la doctrina unificada de esa Sala sentada en sentencia del Pleno de 2 de marzo de 2023, que había sido seguida de otras muchas y en la que se había resuelto que las familias monoparentales no tenían derecho a la acumulación de prestaciones solicitada, ya que no se establecía en la ley vigente, que cumplía las exigencias de la Unión Europea, ni se deducía de la Constitución ni de los acuerdos y tratados internacionales firmados por España, correspondiendo al legislador —y no a los tribunales— determinar el alcance y contenido de la protección que debe dispensarse a ese tipo de familias.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denuncia la infracción del derecho a la igualdad y a la no discriminación directa por circunstancias personales y familiares, e indirecta por razón de sexo (art. 14 CE), en relación con los arts. 39 y 9.2 CE. Se alega, en tal sentido: (i) una desigualdad entre madres biológicas de familias monoparentales y de familias biparentales, en relación con el disfrute del permiso por nacimiento y cuidado de hijos que resulta contraria al art. 14 CE y que carece de justificación objetiva y razonable, lo que causa perjuicios en el ámbito familiar y una merma sustancial en los cuidados del menor; (ii) una discriminación directa por circunstancias personales y familiares (art. 14, en conexión con el art. 39 CE), esto es, por haber adoptado la recurrente la libre decisión de formar una familia monoparental, decisión que vincula al libre desarrollo de la personalidad (art. 10.1 CE) y al ejercicio del derecho de libertad ideológica (art. 16 CE); y (iii) una discriminación indirecta por razón de sexo (art. 14 en conexión con el art. 9.2 CE), por cuanto, aunque la norma es en principio neutra, su efecto reductor del permiso afecta en mayor medida a las mujeres, que son las que mayoritariamente forman familias monoparentales. Por todo ello, solicita la nulidad de todas las resoluciones recurridas, para que el INSS vuelva a dictar una resolución favorable a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13 de enero de 2025, la Sección Primera, Sala Primera, de este tribunal acordó la admisión a trámite del presente recurso de amparo, apreciando que concurría en el mismo una especial trascendencia constitucional [art. 50.1 de la Ley Orgánica del Tribunal Constitucional (LOTC)] como consecuencia de que la posible vulneración del derecho fundamental que se denunciaba pudiera provenir de la ley o de otra disposición de carácter general [STC 155/2009, de 25 de junio, FJ 2 c)]. Igualmente, en aplicación de lo previsto en el art. 51 LOTC, ordenó requerir a la Sala de lo Social del Tribunal Supremo y a la Sala de lo Social del Tribunal Superior de Justicia del País Vasco a fin de que, en un plazo que no excediera de diez días, remitiesen certificación o fotocopia adverada de las actuaciones correspondientes al recurso de casación para la unificación de doctrina núm. 4059-2023 y al recurso de suplicación núm. 2469-2022, respectivamente. Asimismo, acordó dirigir comunicación al Juzgado de lo Social núm. 2 de Vitoria-Gasteiz a fin de que, en el mismo plazo, remitiese certificación o fotocopia adverada de las actuaciones correspondientes a los autos núm. 593-2021, emplazando a quienes hubieran sido parte en el procedimiento, excepto la parte recurrente en amparo, para que, si lo desearan,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5 de febrero de 2025 la letrada de la administración de la Seguridad Social en la representación que ostenta se personó como parte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12 de febrero de 2025 se tuvo por personada y parte a la letrada de la administración de la Seguridad Social. en nombre y representación del INSS y de la TGSS, y se dio vista de las actuaciones del presente recurso de amparo a todas las partes por un plazo común de veinte días, para que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14 de febrero de 2025, la representación procesal de la recurrente en amparo evacuó el trámite de alegaciones conferido, y con mención de la STC 140/2024, de 6 de noviembre, solicitó que se dictase sentencia estimatoria en los términos interesados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7 de marzo de 2025, la letrada de la administración de la Seguridad Social suplicó que se le tuviera por allanada a la demanda en el presente recurso de amparo, ante la estimación de la cuestión de inconstitucionalidad núm. 6694-2023 en la sentencia de Pleno de este tribunal de 6 de noviembre de 2024, que declaró la inconstitucionalidad de los preceptos legales cuestionados: el art. 48.4 del texto refundido de la Ley del estatuto de los trabajadores, aprobado por Real Decreto Legislativo 2/2015, de 23 de octubre (LET); y el art. 177 del texto refundido de la Ley general de la Seguridad Social, aprobado por el Real Decreto Legislativo 8/2015, de 30 de octubre (LGSS). Afirma que, con posterioridad, el Tribunal ha venido dictando sentencias en procesos de amparo estimatorias de la pretensión en casos similares al presente.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ello, la dirección del servicio jurídico de la Seguridad Social dictó la instrucción núm. 10/2024, de 23 de diciembre, por la que autorizó al servicio jurídico delegado central en el INSS para allanarse en los recursos de amparo pendientes ante el Tribunal Constitucional que resulten afectados por lo establecido en el fundamento jurídico 7 de la STC 140/2024, de 6 de noviembre, lo que sucedía en el presente caso. Se añade que, de dictarse sentencia estimatoria de este recurso, se precise la forma de su ejecución dadas las dificultades para llevarla a cabo por los motivos expresados en los incidentes de ejecución planteados por esa parte contra sentencias de este tribunal recaídas sobre idéntica controversia y que en ese escrito se reproducen.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12 de marzo de 2025, el fiscal ante este tribunal presentó escrito de alegaciones interesando la estimación del recurso de amparo por vulneración del derecho a la igualdad y a la no discriminación, en relación con la protección integral de los hijos con independencia de su filiación y conforme a los convenios internacionales que velan por sus derechos (art. 14 en relación con el art. 39 CE). Señala que en aplicación del criterio constitucional establecido en la STC 140/2024, de 6 de noviembre, procede la estimación del recurso pues, al haberse aplicado los mencionados artículos recientemente declarados inconstitucionales y negada la ampliación de la prestación para el cuidado de la recién nacida, las resoluciones impugnadas han producido la discriminación, prohibida por el art. 14 CE, de la demandante y de su hija. La reparación de su derecho habrá de producirse, consiguientemente, con arreglo a lo dispuesto en el fundamento jurídico 7 de la STC 140/2024.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aclara que, tras otorgar el amparo, no procedería acceder a la petición de la recurrente, que interesa la retroacción de las actuaciones hasta la primera resolución dictada por el INSS, teniendo en cuenta que dichas resoluciones ya han sido anuladas por la sentencia dictada por el juzgado. En su resolución se estimó íntegramente la demanda de la recurrente y se declaró su derecho a la ampliación de la prestación en términos acordes con lo recogido en el citado fundamento jurídico 7, argumentando, además, en los relativo a la infracción del derecho fundamental, la existencia de discriminación o diferencia de trato en torno a los preceptos legales aplicados, de modo coincidente en lo esencial a la citada doctrina constitucional. Por consiguiente, procedería acordar la anulación del auto del Tribunal Supremo y de la sentencia del Tribunal Superior de Justicia del País Vasco y declarar la firmeza de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3 de abril de 2025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han ocasionado una discriminación por razón de nacimiento, contraria al art. 14 CE, en conexión con el art. 39 CE, al aplicar el art. 48.4 LET, en relación con el art. 177 LGSS, con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comenzar recordando, en relación con la incidencia que tiene en el presente recurso el allanamiento a las pretensiones de la recurrente por parte de la letrada de la Seguridad Social, que este tribunal ya ha dicho, por todas, STC 6/2017, de 16 de enero, FJ 2 b), que “el allanamiento no podrá tener más alcance que el de un apoyo a la pretensión formulada por la parte demandante de amparo, pero nunca podrá dar lugar a la terminación anticipada del procedimiento, que deberá concluirse necesariamente mediante sentencia en la que este tribunal se pronuncie sobre las pretensiones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la cuestión de fondo planteada en este recurso de amparo es coincidente con la resuelta por la STC 140/2024, de 6 de noviembre. Debemos remitirnos, pues, a los fundamentos jurídicos de esa resolución,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La estimación de la demanda ha de conllevar la declaración de la nulidad de la sentencia núm. 1278/2023, de 23 de mayo, de la Sala de lo Social del Tribunal Superior de Justicia del País Vasco, y del auto de 18 de septiembre de 2024, dictado por la Sala de lo Social del Tribunal Supremo, que declaró su firmeza al inadmitir el recurso de casación para la unificación de doctrina interpuesto frente a ella. Asimismo, procede declarar la firmeza de la sentencia núm. 185/2022, de 29 de julio, del Juzgado de lo Social núm. 2 de Vitoria-Gasteiz, dictada en los autos núm. 593-2021) que estimó la pretensión de la recurrente en términos concordantes con lo declarado en la STC 140/2024, pero teniendo en cuenta para determinar el número de semanas adicionales de la prestación por nacimiento y cuidado de hija la normativa transitoria aplicable al caso, debido a la fecha en la que se produjo el nacimiento de la menor —18 de noviembre de 2020— [disposición transitoria decimotercera, apartado 1, letra d) LET, sobre aplicación paulatina del art. 48 en la redacción dada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dado que la letrada de la administración de la Seguridad Social solicita que, de estimarse el recurso de amparo, este tribunal especifique el modo en que se ha de ejecutar la sentencia, hay que señalar que los incidentes de ejecución a los que hace referencia en su escrito de alegaciones están pendientes de resolución. Por consiguiente, y mientras se resuelvan, se habrá de ejecutar el fallo de esta sentencia de conformidad a lo resuelto por este tribunal en el fundamento jurídico 7 de la citada STC 140/2024, de 6 de noviembre, que reconoce en el caso de las familias monoparentales el derecho a que a las semanas de permiso correspondientes a la madre biológica (art. 48.4 LET, en relación con el art. 177 LGSS) se adicione el previsto legalmente para el segundo progenitor distinto de la madre (restándole las semanas de permiso obligatorio inmediatamente posteriores al parto), teniendo en cuenta, en todo caso, la normativa transitoria que pudiera resultar aplicable a la vista de la fecha en que se produjo el nacimiento.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presentado por doña Andreia Daniela da Graca Pereira y, en su virtud, acuerda: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fundamental a la igualdad ante la ley sin discriminación por razón de nacimiento (art. 14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núm. 1278/2023, de 23 de mayo, de la Sala de lo Social del Tribunal Superior de Justicia del País Vasco, dictada en el recurso de suplicación núm. 2469-2022, y del auto de 18 de septiembre de 2024, de la Sala de lo Social del Tribunal Supremo, recaído en el recurso de casación para la unificación de doctrina núm. 4059-2023, que declaró su firmeza.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firmeza de la sentencia núm. 185/2022, de 29 de julio, dictada por el Juzgado de lo Social núm. 2 de Vitoria-Gasteiz en los autos núm. 593-2021.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abril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