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4983-2024, promovido por doña Sonia Díaz Montes, representada por la procuradora de los tribunales doña María Isabel Torres Ruiz y asistida por la letrada doña Olga Georgina Marquina Pompido, contra la resolución del Instituto Nacional de la Seguridad Social (INSS) de 13 de septiembre de 2021, que denegó su solicitud de ampliación de la duración de la prestación por nacimiento y cuidado de menor, y de 9 de noviembre de 2021, que desestimó la reclamación previa formulada frente a ella, así como frente a la sentencia núm. 714/2024, de 22 de mayo, de la Sala de lo Social del Tribunal Supremo (recurso de casación para la unificación de doctrina núm. 1211-2023), que revocó la sentencia núm. 110/2022, de 22 de abril, del Juzgado de lo Social núm. 1 de Terrassa (autos núm. 781-2021) y la sentencia núm. 211/2023, de 16 de enero, de la Sala de lo Social del Tribunal Superior de Justicia de Cataluña (recurso de suplicación núm. 5370-2022). Han intervenido la letrada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junio de 2024, la procuradora de los tribunales doña María Isabel Torres Ruiz, actuando en nombre y representación de doña Sonia Díaz Montes, interpuso recurso de amparo frente a las resoluciones administrativas y judicial que las confirmaron, y que han sido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antecedentes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14 de agosto de 2021, con la que forma una familia monoparental, presentó solicitud de prestación por nacimiento y cuidado de menor, reconociéndole el INSS, por resolución de 3 de septiembre de 2021, dieciséis semanas de prestación, por el periodo comprendido entre el 14 de agosto del 2021 y el 3 de diciembre de 2021, con una base reguladora diaria de 101,83 €. En la fecha de recepción de la resolución, solicitó la ampliación de la prestación a treinta y dos semanas, invocando la sentencia núm. 1217/2020 del Tribunal Superior de Justicia del País Vasco, en sustento de sus pretensiones. Su petición fue desestimada por el INSS mediante resolución de 13 de septiembre de 2021 y una decisión posterior, fechada el 9 de noviembre de 2021, desestimó la reclamación previa interpuesta frente a la resolución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la Sra. Díaz Montes formuló demanda en la vía judicial frente al INSS y la Tesorería General de la Seguridad Social (TGSS), dando lugar a los autos núm. 7781-2021 seguidos ante el Juzgado de lo Social núm. 1 de Terrassa. Por sentencia núm. 110/2022, de 22 de abril, se estimó parcialmente la demanda, reconociéndose a la actora el derecho a diez semanas adicionales de prestación, por entender que, como madre biológica, ya había disfrutado de las seis semanas ininterrumpidas que corresponden inmediatamente después del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interpusieron recurso de suplicación (núm. 5370-2022) tanto la parte actora como el INSS, siendo estimado el recurso de la primera por sentencia núm. 211/2023, de 16 de enero, de la Sala de lo Social del Tribunal Superior de Justicia de Cataluña. La Sala le reconoció a la actora la ampliación del permiso en seis semanas más, alcanzando un total de dieciséis semanas, y aplicando la doctrina previamente fijada por el Pleno de la Sala del mismo Tribunal, el 29 de noviembre de 2022 (recurso de suplicación núm. 1552-2022), esto es, sosteniendo que la aplicación uniforme del art. 48 de la Ley del estatuto de los trabajadores, aprobado por Real Decreto Legislativo 2/2015, de 23 de octubre (LET), sin tomar en consideración las peculiaridades y necesidades específicas de las familias monoparentales, supone introducir una diferencia de trato respecto de un colectivo que tiene mayores dificultades para conciliar vida laboral y familiar, sin que sea de apreciar justificación objetiva de ningún tipo. Por lo que hace a la ampliación en dieciséis semanas, y no en diez, la sentencia del Tribunal Superior de Justicia sostiene que, cuando no hay ningún otro progenitor, ninguna posibilidad hay de disfrute simultáneo de los permisos, ni de compartir responsabilidades, por lo que la solución a la que lleva una interpretación integradora del ordenamiento jurídico es al reconocimiento de dieciséis semanas de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(núm. 1211-2023) por el INSS, este fue estimado mediante sentencia núm. 714/2024, de 22 de mayo, de la Sala de lo Social del Tribunal Supremo, en aplicación de la doctrina sentada en su sentencia de Pleno núm. 169/2023, de 2 de marzo de 2020 [recurso núm. 3972/2020 (ECLI:ES:TS:2023:783)] en la que se había descartado que la normativa aplicada resultase contraria a la letra o al espíritu de la Constitución Española, se situase al margen de la normativa internacional, o fuera contraria a los acuerdos, pactos o convenios internacionales suscritos por España. Se señala, en definitiva, que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 Sobre la base de lo argumentado, la Sala casó y anuló las sentencias de instancia y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violación del derecho a la igualdad en la ley y a la no discriminación directa por circunstancia personal y familiar e indirecta por razón de sexo (arts. 14, 39 y 9.2 CE). Las resoluciones administrativas impugnadas, que deniegan la ampliación del derecho de permiso por nacimiento y cuidado de hijos de la recurrente de amparo, madre biológica de una hija que, por su libre decisión, ha constituido una familia monoparental, y la sentencia del Tribunal Supremo, que anulando los pronunciamientos judiciales de la instancia, confirma las resoluciones administrativas, han conculcado los citados preceptos constitucionales al deparar un trato desigual injustificado a las familias monoparentales con relación a las de familias biparentales en el disfrute de los permisos y prestaciones por nacimiento y cuidado de hijos regulados en los arts. 48.4 LET y 177 del texto refundido de la Ley general de la Seguridad Social, aprobado por el Real Decreto Legislativo 8/2015, de 30 de octubre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 de especial trascendencia constitucional, la demanda alega que el recurso de amparo plantea un problema o afecta a una faceta de un derecho fundamental sobre el que no hay doctrina de este tribunal, en virtud del fundamento jurídico 2, apartado a), de la STC 155/2009, de 25 de junio, del Tribunal Constitucional. Asimismo, el asunto suscitado trasciende del caso concreto porque plantea una cuestión jurídica de relevante y general repercusión social o económica, según el fundamento jurídico 2, apartado g), de la sentencia anteriormente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al petitum de la demanda, la recurrente en amparo solicita un pronunciamiento estimatorio en que se declaren lesionados los derechos fundamentales a no ser discriminada por razón de sexo y por razón de nacimiento, decretándose la nulidad de la actuación administrativa, así como la sentencia de la Sala de lo Social del Tribunal Supremo núm. 714/2024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FJ 2 c)]”. En aplicación de lo previsto en el art. 51 LOTC ordenó requerir a la Sala de lo Social del Tribunal Supremo y a la Sala de lo Social del Tribunal Superior de Justicia de Cataluña, a fin de que, en un plazo que no excediera de diez días, remitiesen certificación o fotocopia adverada de las actuaciones correspondientes al recurso de casación para la unificación de doctrina núm. 1211-2023 y al recurso de suplicación núm. 5370-2022, respectivamente. Asimismo, acordó dirigir atenta comunicación al Juzgado de lo Social núm. 1 de Terrassa a fin de que, en plazo que no excediera de diez días, remitiese certificación o fotocopia adverada de las actuaciones correspondientes a los autos núm. 781-2021,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diciembre de 2024 se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Cuarta de este tribunal, de 16 de diciembre de 2024, se tuvo por personada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9 de enero de 2025 en el registro de este tribunal, la letrada de la administración de la Seguridad Social presenta sus alegaciones allanándose a la solicitud de la recurrente en amparo. Se sostiene en el escrito que, a la vista la STC de 6 de noviembre de 2024 (“Boletín Oficial del Estado” de 6 de diciembre de 2024), estimatoria de la cuestión de inconstitucionalidad núm. 6694-2023 y de las sucesivamente aprobadas en resolución de diversos recursos de amparo, la dirección del servicio jurídico de la Seguridad Social dictó la instrucción núm. 10/2024, de 23 de diciembre de 2024, autorizando al servicio jurídico delegado central en el INSS para allanarse en los recursos de amparo pendientes ante el Tribunal Constitucional que resulten afectados por lo establecido en el fundamento jurídico 7 de la STC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enero de 2025, la representación procesal de la recurrente en amparo evacuó el trámite de alegaciones conferido, interesando la estimación de su recurso mediante la reproducción de la argumentación contenida en el mismo y señalando que las pretensiones de esa parte se han visto confirmadas por este tribunal al haber declarado la inconstitucional de los preceptos legales cuestionados (STC 140/2024, de 6 de noviembre), que son objeto asimismo de la cuestión de inconstitucionalidad núm. 6694-2023, promovida por la Sala de lo Social del Tribunal Superior de Justicia de Cataluña, órgano jurisdiccional que dictó una de las sentencias anuladas por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22 de abril de 2025 el fiscal ante este tribunal, evacuando el trámite conferido para realizar alegaciones, interesó la estimación del recurso de amparo por vulneración del derecho a la igualdad ante la ley sin discriminación por razón de nacimiento (art. 14 CE), con reconocimiento de tal derecho, de conformidad con lo resuelto en la STC 140/2024, de 6 de noviembre, que ha declarado la inconstitucionalidad de los arts. 48.4 LET y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con arreglo al criterio adoptado en la STC 140/2024, la reparación del derecho a la igualdad de la recurrente no incluye las cuatro primeras semanas, por las razones que expresa la propia sentencia, lo que, en definitiva, en el caso de autos, ha de conducir a la ampliación en diez semanas adicionales. Por ese motivo, el Ministerio Fiscal constata que no es posible atender al petitum de la demanda de amparo, que solicitaba la mera anulación de la sentencia del Tribunal Supremo para que recobrase firmeza la del Tribunal Superior de Justicia. Tampoco procedería, a juicio de la fiscalía, la declaración de firmeza de la sentencia del juzgado de lo social, que sí era plenamente conforme a la doctrina constitucional, puesto que dicha sentencia fue impugnada por la demandante de amparo. En consecuencia, esta fiscalía entiende que la reparación del derecho fundamental vulnerado ha de concretarse en la declaración de nulidad de la sentencia de 22 de mayo de 2024 de la Sala de lo Social del Tribunal Supremo, acordándose la retroacción de las actuaciones al momento inmediatamente anterior a su dictado, para que por dicha Sala del Alto Tribunal se dicte otra plenamente respetuosa con dicho derecho fundamental, en los términos que derivan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[resoluciones del INSS de 13 de septiembre de 2021 y de 9 de noviembre de 2021, y STS 714/2024, de 22 de mayo, de la Sala de lo Social (recurso de unificación de doctrina núm. 1211-2023)] han ocasionado una discriminación por razón de nacimiento, contraria al art. 14 CE, en conexión con el art. 39 CE, al aplicar el art. 48.4 (LET), en relación con el art. 177 LGSS, con la redacción dada a los mismos por el Real-Decreto-ley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Seguridad Social se allana a la pretensión de la demanda de amparo, y el Ministerio Fiscal interesa la estimación en aplicación de la doctrina constitucional fijada en la STC 140/2024, de 6 de noviembre, solicitando la anulación de la sentencia del Tribunal Supremo y la retroacción a ese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El fiscal interesa la estimación del recurso, la anulación de las resoluciones del INSS de 13 de septiembre de 2021 y de 9 de noviembre de 2021, y de la STS 714/2024, de 22 de mayo, de la Sala de lo Social (recurso de unificación de doctrina núm. 1211-2023) pero sin la declaración de firmeza ni de la sentencia núm. 110/2022 del Juzgado de lo Social núm. 1 de Terrassa, ni de la sentencia núm. 211/2023 de la Sala de lo Social del Tribunal Superior de Justicia de Cataluña, habida cuenta de que la pretensión de la demanda tampoco se concreta en la solicitud de la declaración de firmeza de ninguna de las dos resoluciones. No obstante, teniendo en cuenta que la sentencia del Juzgado se ajusta a la doctrina contenida en la STC 140/2024, esta Sala considera idóneo declarar la firmeza de la de la sentencia núm. 110/2022, de 22 de abril, del Juzgado de lo Social núm. 1 de Terrassa (autos núm. 781-2021).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Sonia Díaz Montes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(i) de la resolución del Instituto Nacional de la Seguridad Social de 13 de septiembre de 2021, que denegó su solicitud de ampliación de la duración de la prestación por nacimiento y cuidado de menor, y de la de 9 de noviembre de 2021, que desestimó la reclamación previa formulada frente a ella; (ii) de la sentencia núm. 714/2024, de 22 de mayo, de la Sala de lo Social del Tribunal Supremo (recurso de casación para la unificación de doctrina núm. 1211-2023) y (iii) de la sentencia núm. 211/2023, de 16 de enero, de la Sala de lo Social del Tribunal Superior de Justicia de Cataluña (recurso de suplicación núm. 5370-2022).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de la sentencia núm. 110/2022, de 22 de abril, del Juzgado de lo Social núm. 1 de Terrassa (autos núm. 781-2021).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