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4920-2002, promovida por la Sección Segunda de la Sala de lo Contencioso-Administrativo del Tribunal Superior de Justicia del País Vasco en relación con el art. 11 a) de la Ley del Parlamento Vasco 17/1994, de 30 de junio, de medidas urgentes en materia de vivienda, de tramitación de los instrumentos de planeamiento y gestión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agosto de 2002 fue registrado en este Tribunal oficio de fecha 29 de julio de 2002, remitido por la Sala de lo Contencioso-Administrativo (Sección Segunda) del Tribunal Superior de Justicia del País Vasco, al que se adjuntaba, entre otros testimonios, el del Auto del mismo órgano judicial, de 28 de junio de 2002, por el que se acuerda plantear cuestión de inconstitucionalidad en relación con el art. 11 a) de la Ley del Parlamento Vasco 17/1994, de 30 de junio, de medidas urgentes en materia de vivienda, de tramitación de los instrumentos de planeamiento y gestión urbanística. El precepto mencionado completo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4920- 2002, deriva del recurso contencioso-administrativo interpuesto por Inmobiliaria Altube, S.L., contra el Acuerdo del Pleno del Ayuntamiento de Bilbao de 29 de abril de 1996, por el que se aprobó definitivamente el proyecto de compensación de la unidad de ejecución 709.01 de Elejábarri, que había aplicado un porcentaje de cesión de aprovechamiento del 15 por 100 en suelo urbano, conforme a lo dispuesto por el art. 27 del texto refundido de la Ley sobre el régimen del suelo y ordenación urbana, aprobado por Real Decreto Legislativo 1/1992, de 26 de junio (LS de 1992), precepto declarado inconstitucional por STC 61/1997, de 20 de marzo.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 Administrativo del Tribunal Superior de Justicia del País Vasco dictó providencia de 29 de mayo de 2002,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 Administrativo del Tribunal Superior de Justicia del País Vasco por el que se decide plantear la cuestión de inconstitucionalidad justifica el órgano judicial que el art. 11 a) de la Ley vasca 17/1994 es la norma aplicable al caso sobre el que debe resolverse, en atención al momento en que fue aprobado definitivamente el mencionado Proyecto de Compensación.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Y tampoco sería aplicable lo dispuesto por el Real Decreto Ley 5/1996, de 7 de junio, de medidas liberalizadoras en materia de suelo y de colegios profesionales -que redujo la cesión de aprovechamiento urbanístico-, por ser posterior en el tiempo al acto administrativo impugnado.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el LS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a)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2003 la Sección Primera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9 de julio de 2003. Este escrito comienza poniendo de manifiesto que sería posible entender que el precepto cuestionado, dictado por el legislativo vasco en el marco de lo dispuesto por el art. 27 LS de 1992, quedó invalidado, por razón de esa conexión, el mismo día en que se publicó en el BOE la STC 61/1997, que declaró la inconstitucionalidad del citado art. 27 LS de 1992. No obstante, considera el representante del Gobierno de la Nación como preferible una tesis que, por razones de seguridad jurídica, niegue la propagación o comunicación de la inconstitucionalidad de un precepto legal estatal al autonómico que lo desarrolla o presupone. </w:t>
      </w:r>
    </w:p>
    <w:p w:rsidRPr="00C21FFE" w:rsidR="00F31FAF" w:rsidRDefault="00356547">
      <w:pPr>
        <w:rPr/>
      </w:pPr>
      <w:r w:rsidRPr="&lt;w:rPr xmlns:w=&quot;http://schemas.openxmlformats.org/wordprocessingml/2006/main&quot;&gt;&lt;w:lang w:val=&quot;es-ES_tradnl&quot; /&gt;&lt;/w:rPr&gt;">
        <w:rPr/>
        <w:t xml:space="preserve">Argumenta, a continuación, el Abogado del Estado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14.2 c) de la Ley 6/1998, de 13 de abril, sobre régimen del suelo y valoraciones (LRSV), lo que se deduciría de lo declarado en las SSTC 164/2001, de 11 de julio (FJ 22), y 54/2002, de 27 de febrero. Pero aunque se prescindiera del art. 14.2 c) LRSV sería evidente la contradicción que se da entre la regulación del precepto vasco cuestionado y la del 83.3 LS de 1976, precepto éste que debe considerarse amparado bajo la competencia del art. 149.1.1 CE y que no establecía deber alguno de cesión de aprovechamiento lucrativo en suelo urbano. Nada podría oponerse a que se considere el art. 83.3 LS de 1976 como una “condición básica”. La limitación a la inferencia de bases a partir de la legislación preconstitucional (STC 37/2002, de 14 de febrero, FJ 9) no sería aquí aplicable, porque la competencia para establecer condiciones básicas no se encuadra en el esquema de distribución competencial “bases-desarrollo”; y porque, en todo caso, falta el presupuesto establecido por la citada STC 37/2002 para excluir la inferencia de bases -que el legislador postconstitucional establezca válidamente bases o condiciones básicas “de manera aparentemente completa e innovadora”-, pues la inconstitucional Ley 8/1990, de 25 de julio, y el LS de 1992 no merecerían conceptuarse como válido intento de fijar condiciones básicas completas en materia de propiedad urbana. </w:t>
      </w:r>
    </w:p>
    <w:p w:rsidRPr="00C21FFE" w:rsidR="00F31FAF" w:rsidRDefault="00356547">
      <w:pPr>
        <w:rPr/>
      </w:pPr>
      <w:r w:rsidRPr="&lt;w:rPr xmlns:w=&quot;http://schemas.openxmlformats.org/wordprocessingml/2006/main&quot;&gt;&lt;w:lang w:val=&quot;es-ES_tradnl&quot; /&gt;&lt;/w:rPr&gt;">
        <w:rPr/>
        <w:t xml:space="preserve">A juicio del Abogado del Estado, no podría negarse que el 83.3 LS de 1976 (que no establece deber de cesión de aprovechamiento lucrativo en suelo urbano) estaría amparado por el art. 149.1.1 CE y que el precepto vasco cuestionado (cesión del 15 por 100 del aprovechamiento) es incompatible con aquél. Por lo expuesto solicita la representación procesal del Gobierno de la Nación que se dicte sentencia estimatoria de la cuestión, en la que se declare la inconstitucionalidad y nulidad del art. 11 a) de la Ley vasca 17/1994.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los Servicios Jurídico-Centrales de la Administración de la Comunidad Autónoma del País Vasco presentó su escrito de alegaciones el 9 de julio de 2003.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 escrito de alegaciones el 9 de julio de 2003.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15 de julio de 2003. Tras la exposición de los antecedentes, sostiene el Fiscal la tesis de la aplicación del ius superveniens (en concreto, de la regulación de la cesión de aprovechamientos en suelo urbano contenida en la LRSV de 1998), sustancialmente coincidente con la argumentada por el Abogado del Estado en su escrito de alegaciones. Por ello concluye este escrito con la solicitud de que se dicte sentencia estimatoria de la cuestión, que declare la inconstitucionalidad del precepto legal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4 de julio de 2003,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18 de julio de 2003, el Presidente del Senado comunicaba que la Mesa de la Cámara había acordado solicitar que se tuviera a la Cámara por personada en este proceso y ofrecer su colaboración a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noviembre de 2004 se acordó señalar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 11 a) de la Ley del Parlamento Vasco 17/1994, de 30 de junio, de</w:t>
      </w:r>
    </w:p>
    <w:p w:rsidRPr="00C21FFE" w:rsidR="00F31FAF" w:rsidRDefault="00356547">
      <w:pPr>
        <w:rPr/>
      </w:pPr>
      <w:r w:rsidRPr="&lt;w:rPr xmlns:w=&quot;http://schemas.openxmlformats.org/wordprocessingml/2006/main&quot;&gt;&lt;w:lang w:val=&quot;es-ES_tradnl&quot; /&gt;&lt;/w:rPr&gt;">
        <w:rPr/>
        <w:t xml:space="preserve">medidas urgentes en materia de vivienda, de tramitación de los instrumentos de planeamiento y gestión urbanística, que regula el porcentaje de cesión y patrimonialización de aprovechamiento urbanístico de los propietarios de suelo urbano incluidos en</w:t>
      </w:r>
    </w:p>
    <w:p w:rsidRPr="00C21FFE" w:rsidR="00F31FAF" w:rsidRDefault="00356547">
      <w:pPr>
        <w:rPr/>
      </w:pPr>
      <w:r w:rsidRPr="&lt;w:rPr xmlns:w=&quot;http://schemas.openxmlformats.org/wordprocessingml/2006/main&quot;&gt;&lt;w:lang w:val=&quot;es-ES_tradnl&quot; /&gt;&lt;/w:rPr&gt;">
        <w:rPr/>
        <w:t xml:space="preserve">unidad de ejecución en los denominados municipios de “aplicación íntegra” de la Ley del suelo de 1992 en el País Vasco.  Suscita el mencionado órgano judicial, en síntesis, la duda de si es constitucionalmente posible una regulación como la del precepto</w:t>
      </w:r>
    </w:p>
    <w:p w:rsidRPr="00C21FFE" w:rsidR="00F31FAF" w:rsidRDefault="00356547">
      <w:pPr>
        <w:rPr/>
      </w:pPr>
      <w:r w:rsidRPr="&lt;w:rPr xmlns:w=&quot;http://schemas.openxmlformats.org/wordprocessingml/2006/main&quot;&gt;&lt;w:lang w:val=&quot;es-ES_tradnl&quot; /&gt;&lt;/w:rPr&gt;">
        <w:rPr/>
        <w:t xml:space="preserve">legal vasco sin que exista una norma del Estado que, en ejercicio de la competencia estatal del art.  149.1.1 CE, establezca, no ya los límites de la cesión de aprovechamiento en suelo urbano, sino la misma obligatoriedad de esa cesión en dicha clase de</w:t>
      </w:r>
    </w:p>
    <w:p w:rsidRPr="00C21FFE" w:rsidR="00F31FAF" w:rsidRDefault="00356547">
      <w:pPr>
        <w:rPr/>
      </w:pPr>
      <w:r w:rsidRPr="&lt;w:rPr xmlns:w=&quot;http://schemas.openxmlformats.org/wordprocessingml/2006/main&quot;&gt;&lt;w:lang w:val=&quot;es-ES_tradnl&quot; /&gt;&lt;/w:rPr&gt;">
        <w:rPr/>
        <w:t xml:space="preserve">suelo, que no estaba prevista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(aunque referida a la totalidad del art. 11 de la Ley vasca 17/1994), ha sido ya resuelta con un pronunciamiento desestimatorio por este Tribunal en la reciente STC 178/2004, de 21 de octubre. De acuerdo con esta Sentencia, cuando el precepto cuestionado fue dictado, “la legislación urbanística autonómica [estaba] vinculada sólo por las condiciones básicas que, de conformidad con la Constitución, había establecido el Estado en la Ley del suelo de 1992 [texto refundido de la Ley sobre el régimen del suelo y ordenación urbana, aprobado por Real Decreto Legislativo 1/1992, de 26 de junio],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(STC 178/2004, de 21 de octubre, en especial FJ 7). En lo demás debemos remitirnos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4920-2002.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18 de noviembre de 2004, dictada en la cuestión de inconstitucionalidad núm.  4920-2002,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el disentimiento que expresé (ex artículo 90.2 LOTC) en el Voto particular a la STC 178/2004, de 21 de octubre, en las cuestiones de inconstitucionalidad núms. 4104/99 y 1661-2002 y, en concreto, lo que dije en los fundamentos jurídicos 1 a 3 del mismo, que son aplicables al presente supuesto.  Para la solución del caso resulta que el texto refundido de la Ley de 1976 ha ocupado en forma sobrevenida la posición de condiciones básicas del artículo 149.1.1 CE (STC 173/1998, FJ 9) respecto de la legislación autonómica vasca. No hay otras cesiones en suelo urbano que las que establece el artículo 83.3 LS de 1976.  Por ello, y como consecuencia de la STC 61/1997, el artículo 11 de la Ley vasca 17/1994 entró en colisión con las condiciones básicas sobrevenidas, resultando desplazado por el Derecho estatal y siendo inaplicable al caso concreto que se nos plantea.</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dieciocho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